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7C81" w:rsidRPr="008E24D0" w:rsidRDefault="00397C81" w:rsidP="00397C81">
      <w:pPr>
        <w:pStyle w:val="paragraph"/>
      </w:pPr>
      <w:bookmarkStart w:id="0" w:name="_GoBack"/>
      <w:bookmarkEnd w:id="0"/>
      <w:r w:rsidRPr="008E24D0">
        <w:rPr>
          <w:rStyle w:val="smallcaps"/>
        </w:rPr>
        <w:t>Claudia Händl</w:t>
      </w:r>
      <w:r w:rsidRPr="008E24D0">
        <w:t xml:space="preserve"> widmet sich</w:t>
      </w:r>
      <w:r>
        <w:t xml:space="preserve"> in ihrem komparatistischen Beitrag den zeitgenössischen chronikalischen Berichten, die von den Geißlerbewegungen –</w:t>
      </w:r>
      <w:r w:rsidRPr="008E24D0">
        <w:t xml:space="preserve"> einem so ambivalenten wie faszinierenden Phänomen der spätmittelalt</w:t>
      </w:r>
      <w:r>
        <w:t>erlichen Frömmigkeitsgeschichte – zeugen. Die Strömung, die in</w:t>
      </w:r>
      <w:r w:rsidRPr="008E24D0">
        <w:t xml:space="preserve"> verschiedenen Teilen Europas eine enorme Wirkung</w:t>
      </w:r>
      <w:r>
        <w:t xml:space="preserve"> entfaltete, besaß trotz übergreifender Gemeinsamkeiten doch jeweils ihre kulturelle Spezifik, die es für die Interpretation der Berichte zu berücksichtigen gilt</w:t>
      </w:r>
      <w:r w:rsidRPr="008E24D0">
        <w:t xml:space="preserve">. In </w:t>
      </w:r>
      <w:r w:rsidRPr="00AA3B20">
        <w:rPr>
          <w:smallCaps/>
        </w:rPr>
        <w:t>Händl</w:t>
      </w:r>
      <w:r w:rsidRPr="00AA3B20">
        <w:t>s</w:t>
      </w:r>
      <w:r w:rsidRPr="008E24D0">
        <w:t xml:space="preserve"> Studie zu den </w:t>
      </w:r>
      <w:r>
        <w:t xml:space="preserve">italienischen und deutschen </w:t>
      </w:r>
      <w:r w:rsidRPr="008E24D0">
        <w:t xml:space="preserve">Geißlerliedern </w:t>
      </w:r>
      <w:r>
        <w:t>und</w:t>
      </w:r>
      <w:r w:rsidRPr="008E24D0">
        <w:t xml:space="preserve"> </w:t>
      </w:r>
      <w:r>
        <w:t>zur</w:t>
      </w:r>
      <w:r w:rsidRPr="008E24D0">
        <w:t xml:space="preserve"> Geißlerliturgie </w:t>
      </w:r>
      <w:r>
        <w:t xml:space="preserve">konzentriert sich die Autorin auf </w:t>
      </w:r>
      <w:r w:rsidRPr="008E24D0">
        <w:t xml:space="preserve">die inszenierten Kommunikationssituationen der lyrischen Texte. </w:t>
      </w:r>
      <w:r>
        <w:t>Ihre textnahen</w:t>
      </w:r>
      <w:r w:rsidRPr="008E24D0">
        <w:t xml:space="preserve"> Interpretationen </w:t>
      </w:r>
      <w:r>
        <w:t>machen</w:t>
      </w:r>
      <w:r w:rsidRPr="008E24D0">
        <w:t xml:space="preserve"> augenfällig</w:t>
      </w:r>
      <w:r>
        <w:t xml:space="preserve">, dass die italienischen Lieder </w:t>
      </w:r>
      <w:r w:rsidRPr="008E24D0">
        <w:t>aus einer kommunikationstheoretischen Perspektive betrachtet erstaunliche Übereinstimmungen mit den deutschsprachigen Liedtexten aufweisen, obgleich ein konkreter textgenetischer Einfluss nahezu ausgeschlossen werden kann. Die wohlkalkulierten Strategien der Legiti</w:t>
      </w:r>
      <w:r>
        <w:t xml:space="preserve">mierung und Autorisierung nimmt </w:t>
      </w:r>
      <w:r w:rsidRPr="001476AE">
        <w:rPr>
          <w:rStyle w:val="smallcaps"/>
        </w:rPr>
        <w:t>Händl</w:t>
      </w:r>
      <w:r>
        <w:t xml:space="preserve"> als Anlass, Fragen</w:t>
      </w:r>
      <w:r w:rsidRPr="008E24D0">
        <w:t xml:space="preserve"> </w:t>
      </w:r>
      <w:r>
        <w:t xml:space="preserve">hinsichtlich der </w:t>
      </w:r>
      <w:r w:rsidRPr="008E24D0">
        <w:t>Autorschaft d</w:t>
      </w:r>
      <w:r>
        <w:t>ies</w:t>
      </w:r>
      <w:r w:rsidRPr="008E24D0">
        <w:t>er Texte auf</w:t>
      </w:r>
      <w:r>
        <w:t>zuwerfen</w:t>
      </w:r>
      <w:r w:rsidRPr="008E24D0">
        <w:t xml:space="preserve">, die auch für die künftige Beschäftigung mit den Geißlerliedern von weitreichender Bedeutung </w:t>
      </w:r>
      <w:r>
        <w:t>sein dürften</w:t>
      </w:r>
      <w:r w:rsidRPr="008E24D0">
        <w:t xml:space="preserve">: </w:t>
      </w:r>
      <w:r>
        <w:t xml:space="preserve">So stellt </w:t>
      </w:r>
      <w:r w:rsidRPr="00B13A0D">
        <w:rPr>
          <w:rStyle w:val="smallcaps"/>
        </w:rPr>
        <w:t>Händl</w:t>
      </w:r>
      <w:r>
        <w:t xml:space="preserve"> f</w:t>
      </w:r>
      <w:r w:rsidRPr="008E24D0">
        <w:t xml:space="preserve">ür den Leis im </w:t>
      </w:r>
      <w:r w:rsidRPr="008E24D0">
        <w:rPr>
          <w:i/>
          <w:iCs/>
        </w:rPr>
        <w:t>Chronicon</w:t>
      </w:r>
      <w:r w:rsidRPr="008E24D0">
        <w:t xml:space="preserve"> Hugos von Reutlingen die These zur Diskussion, dass der literarisch wie musikalisch beschlagene Chronist um der Anschaulichkeit des Geißlerzuges willen den Text selbst verfasst, zumindest aber </w:t>
      </w:r>
      <w:r>
        <w:t xml:space="preserve">literarisch </w:t>
      </w:r>
      <w:r w:rsidRPr="008E24D0">
        <w:t>be</w:t>
      </w:r>
      <w:r>
        <w:t>arbeitet haben könnte. Im Licht</w:t>
      </w:r>
      <w:r w:rsidRPr="008E24D0">
        <w:t xml:space="preserve"> dieser These wird die kommunikative und rezeptionsästhetische Funktion der schriftlich aufgezeichneten Lieder im Kontext der </w:t>
      </w:r>
      <w:r>
        <w:t>chronikalischen Berichte, in einem</w:t>
      </w:r>
      <w:r w:rsidRPr="008E24D0">
        <w:t xml:space="preserve"> Spannungsfeld von literarischen und liturgischen Autorisierungsstrategien</w:t>
      </w:r>
      <w:r>
        <w:t>,</w:t>
      </w:r>
      <w:r w:rsidRPr="008E24D0">
        <w:t xml:space="preserve"> neu zu diskutieren sein.</w:t>
      </w:r>
      <w:r>
        <w:t xml:space="preserve"> </w:t>
      </w:r>
    </w:p>
    <w:p w:rsidR="00A83968" w:rsidRDefault="00A83968"/>
    <w:sectPr w:rsidR="00A8396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G Meta Serif Science">
    <w:panose1 w:val="02000503080000020004"/>
    <w:charset w:val="00"/>
    <w:family w:val="modern"/>
    <w:notTrueType/>
    <w:pitch w:val="variable"/>
    <w:sig w:usb0="E00002FF" w:usb1="500061FB" w:usb2="0000002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7C81"/>
    <w:rsid w:val="00065AFB"/>
    <w:rsid w:val="00397C81"/>
    <w:rsid w:val="00A83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BA4F721-8153-4A5F-97B4-67E5E3621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noProof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paragraph">
    <w:name w:val="paragraph"/>
    <w:rsid w:val="00397C81"/>
    <w:pPr>
      <w:spacing w:after="0" w:line="260" w:lineRule="exact"/>
      <w:ind w:firstLine="340"/>
      <w:jc w:val="both"/>
    </w:pPr>
    <w:rPr>
      <w:rFonts w:ascii="DG Meta Serif Science" w:eastAsia="Times New Roman" w:hAnsi="DG Meta Serif Science" w:cs="DG Meta Serif Science"/>
      <w:sz w:val="19"/>
      <w:szCs w:val="24"/>
      <w:lang w:eastAsia="de-DE"/>
    </w:rPr>
  </w:style>
  <w:style w:type="character" w:customStyle="1" w:styleId="smallcaps">
    <w:name w:val="smallcaps"/>
    <w:qFormat/>
    <w:rsid w:val="00397C81"/>
    <w:rPr>
      <w:rFonts w:cs="DG Meta Serif Science"/>
      <w:caps w:val="0"/>
      <w:smallCaps/>
      <w:strike w:val="0"/>
      <w:dstrike w:val="0"/>
      <w:outline w:val="0"/>
      <w:shadow w:val="0"/>
      <w:emboss w:val="0"/>
      <w:imprint w:val="0"/>
      <w:noProof w:val="0"/>
      <w:vanish w:val="0"/>
      <w:color w:val="auto"/>
      <w:spacing w:val="0"/>
      <w:w w:val="100"/>
      <w:kern w:val="0"/>
      <w:u w:val="none"/>
      <w:effect w:val="none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243</Words>
  <Characters>1536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Herberichs</dc:creator>
  <cp:keywords/>
  <dc:description/>
  <cp:lastModifiedBy>Herberichs</cp:lastModifiedBy>
  <cp:revision>2</cp:revision>
  <dcterms:created xsi:type="dcterms:W3CDTF">2014-07-16T08:55:00Z</dcterms:created>
  <dcterms:modified xsi:type="dcterms:W3CDTF">2014-07-16T08:55:00Z</dcterms:modified>
</cp:coreProperties>
</file>