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BF1448" w14:textId="77777777" w:rsidR="00C724D8" w:rsidRPr="003C1279" w:rsidRDefault="00D62801"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b/>
          <w:bCs/>
          <w:color w:val="212121"/>
          <w:kern w:val="0"/>
          <w:lang w:eastAsia="it-IT" w:bidi="ar-SA"/>
        </w:rPr>
      </w:pPr>
      <w:r w:rsidRPr="003C1279">
        <w:rPr>
          <w:rFonts w:cs="Times New Roman"/>
          <w:b/>
          <w:bCs/>
          <w:color w:val="212121"/>
          <w:kern w:val="0"/>
          <w:lang w:eastAsia="it-IT" w:bidi="ar-SA"/>
        </w:rPr>
        <w:t xml:space="preserve">Title </w:t>
      </w:r>
    </w:p>
    <w:p w14:paraId="4079FF73" w14:textId="77777777" w:rsidR="00C724D8" w:rsidRPr="003C1279" w:rsidRDefault="00FD159B"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bCs/>
          <w:color w:val="212121"/>
          <w:kern w:val="0"/>
          <w:lang w:eastAsia="it-IT" w:bidi="ar-SA"/>
        </w:rPr>
      </w:pPr>
      <w:r w:rsidRPr="003C1279">
        <w:rPr>
          <w:rFonts w:cs="Times New Roman"/>
          <w:bCs/>
          <w:color w:val="212121"/>
          <w:kern w:val="0"/>
          <w:lang w:eastAsia="it-IT" w:bidi="ar-SA"/>
        </w:rPr>
        <w:t>Evaluation of the effectiveness of neuromuscular electrical stimulation a</w:t>
      </w:r>
      <w:r w:rsidRPr="003C1279">
        <w:rPr>
          <w:rFonts w:cs="Times New Roman"/>
          <w:bCs/>
          <w:color w:val="212121"/>
          <w:kern w:val="0"/>
          <w:lang w:eastAsia="it-IT" w:bidi="ar-SA"/>
        </w:rPr>
        <w:t>f</w:t>
      </w:r>
      <w:r w:rsidRPr="003C1279">
        <w:rPr>
          <w:rFonts w:cs="Times New Roman"/>
          <w:bCs/>
          <w:color w:val="212121"/>
          <w:kern w:val="0"/>
          <w:lang w:eastAsia="it-IT" w:bidi="ar-SA"/>
        </w:rPr>
        <w:t>ter total knee arthroplasty: a meta-analysis.</w:t>
      </w:r>
    </w:p>
    <w:p w14:paraId="2349AAD5" w14:textId="77777777" w:rsidR="006F77D6" w:rsidRPr="003C1279" w:rsidRDefault="006F77D6"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bCs/>
          <w:color w:val="212121"/>
          <w:kern w:val="0"/>
          <w:lang w:eastAsia="it-IT" w:bidi="ar-SA"/>
        </w:rPr>
      </w:pPr>
    </w:p>
    <w:p w14:paraId="5C2B6EDD" w14:textId="77777777" w:rsidR="00730FB6" w:rsidRPr="003C1279" w:rsidRDefault="00730FB6" w:rsidP="003C1279">
      <w:pPr>
        <w:spacing w:line="276" w:lineRule="auto"/>
        <w:ind w:left="-90"/>
        <w:jc w:val="both"/>
        <w:rPr>
          <w:rFonts w:cs="Times New Roman"/>
          <w:b/>
          <w:bCs/>
          <w:color w:val="212121"/>
          <w:kern w:val="0"/>
          <w:lang w:eastAsia="it-IT" w:bidi="ar-SA"/>
        </w:rPr>
      </w:pPr>
      <w:r w:rsidRPr="003C1279">
        <w:rPr>
          <w:rFonts w:cs="Times New Roman"/>
          <w:b/>
          <w:bCs/>
          <w:color w:val="212121"/>
          <w:kern w:val="0"/>
          <w:lang w:eastAsia="it-IT" w:bidi="ar-SA"/>
        </w:rPr>
        <w:t xml:space="preserve">Abstract </w:t>
      </w:r>
    </w:p>
    <w:p w14:paraId="09490B0D" w14:textId="77777777" w:rsidR="00730FB6" w:rsidRPr="003C1279" w:rsidRDefault="00730FB6"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rPr>
      </w:pPr>
      <w:r w:rsidRPr="003C1279">
        <w:rPr>
          <w:rFonts w:cs="Times New Roman"/>
          <w:b/>
          <w:bCs/>
          <w:color w:val="212121"/>
          <w:kern w:val="0"/>
          <w:lang w:eastAsia="it-IT" w:bidi="ar-SA"/>
        </w:rPr>
        <w:t>Aim</w:t>
      </w:r>
      <w:r w:rsidRPr="003C1279">
        <w:rPr>
          <w:rFonts w:cs="Times New Roman"/>
          <w:bCs/>
          <w:color w:val="212121"/>
          <w:kern w:val="0"/>
          <w:lang w:eastAsia="it-IT" w:bidi="ar-SA"/>
        </w:rPr>
        <w:t>: to analyze and evaluate the efficacy of the use of the neuromuscular electrical stimulation (NMES) after total knee arthroplasty.</w:t>
      </w:r>
    </w:p>
    <w:p w14:paraId="5239A160" w14:textId="77777777" w:rsidR="00730FB6" w:rsidRPr="003C1279" w:rsidRDefault="00324D96"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rPr>
      </w:pPr>
      <w:r w:rsidRPr="003C1279">
        <w:rPr>
          <w:rFonts w:cs="Times New Roman"/>
          <w:b/>
          <w:bCs/>
          <w:color w:val="212121"/>
          <w:kern w:val="0"/>
          <w:lang w:eastAsia="it-IT" w:bidi="ar-SA"/>
        </w:rPr>
        <w:t>Methods</w:t>
      </w:r>
      <w:r w:rsidR="00730FB6" w:rsidRPr="003C1279">
        <w:rPr>
          <w:rFonts w:cs="Times New Roman"/>
          <w:b/>
          <w:bCs/>
          <w:color w:val="212121"/>
          <w:kern w:val="0"/>
          <w:lang w:eastAsia="it-IT" w:bidi="ar-SA"/>
        </w:rPr>
        <w:t>:</w:t>
      </w:r>
      <w:r w:rsidR="00730FB6" w:rsidRPr="003C1279">
        <w:rPr>
          <w:rFonts w:cs="Times New Roman"/>
          <w:bCs/>
          <w:color w:val="212121"/>
          <w:kern w:val="0"/>
          <w:lang w:eastAsia="it-IT" w:bidi="ar-SA"/>
        </w:rPr>
        <w:t xml:space="preserve"> a systematic review of randomized controlled trials</w:t>
      </w:r>
      <w:r w:rsidR="000C6B9E" w:rsidRPr="003C1279">
        <w:rPr>
          <w:rFonts w:cs="Times New Roman"/>
          <w:bCs/>
          <w:color w:val="212121"/>
          <w:kern w:val="0"/>
          <w:lang w:eastAsia="it-IT" w:bidi="ar-SA"/>
        </w:rPr>
        <w:t xml:space="preserve"> identyfied</w:t>
      </w:r>
      <w:r w:rsidR="00730FB6" w:rsidRPr="003C1279">
        <w:rPr>
          <w:rFonts w:cs="Times New Roman"/>
          <w:bCs/>
          <w:color w:val="212121"/>
          <w:kern w:val="0"/>
          <w:lang w:eastAsia="it-IT" w:bidi="ar-SA"/>
        </w:rPr>
        <w:t xml:space="preserve"> </w:t>
      </w:r>
      <w:r w:rsidRPr="003C1279">
        <w:rPr>
          <w:rFonts w:cs="Times New Roman"/>
          <w:bCs/>
          <w:color w:val="212121"/>
          <w:kern w:val="0"/>
          <w:lang w:eastAsia="it-IT" w:bidi="ar-SA"/>
        </w:rPr>
        <w:t xml:space="preserve">through </w:t>
      </w:r>
      <w:r w:rsidR="00730FB6" w:rsidRPr="003C1279">
        <w:rPr>
          <w:rFonts w:cs="Times New Roman"/>
          <w:bCs/>
          <w:color w:val="212121"/>
          <w:kern w:val="0"/>
          <w:lang w:eastAsia="it-IT" w:bidi="ar-SA"/>
        </w:rPr>
        <w:t>MEDLINE, PubMed, Cochrane Library, and PEDro. The PICOS approach was used to formulate the research question. The crit</w:t>
      </w:r>
      <w:r w:rsidR="00730FB6" w:rsidRPr="003C1279">
        <w:rPr>
          <w:rFonts w:cs="Times New Roman"/>
          <w:bCs/>
          <w:color w:val="212121"/>
          <w:kern w:val="0"/>
          <w:lang w:eastAsia="it-IT" w:bidi="ar-SA"/>
        </w:rPr>
        <w:t>e</w:t>
      </w:r>
      <w:r w:rsidR="00730FB6" w:rsidRPr="003C1279">
        <w:rPr>
          <w:rFonts w:cs="Times New Roman"/>
          <w:bCs/>
          <w:color w:val="212121"/>
          <w:kern w:val="0"/>
          <w:lang w:eastAsia="it-IT" w:bidi="ar-SA"/>
        </w:rPr>
        <w:t>ria for inclusion and exclusion has been defined in advance. Controlled terms, and Boolean operators have been used to increase the se</w:t>
      </w:r>
      <w:r w:rsidR="00730FB6" w:rsidRPr="003C1279">
        <w:rPr>
          <w:rFonts w:cs="Times New Roman"/>
          <w:bCs/>
          <w:color w:val="212121"/>
          <w:kern w:val="0"/>
          <w:lang w:eastAsia="it-IT" w:bidi="ar-SA"/>
        </w:rPr>
        <w:t>n</w:t>
      </w:r>
      <w:r w:rsidR="00730FB6" w:rsidRPr="003C1279">
        <w:rPr>
          <w:rFonts w:cs="Times New Roman"/>
          <w:bCs/>
          <w:color w:val="212121"/>
          <w:kern w:val="0"/>
          <w:lang w:eastAsia="it-IT" w:bidi="ar-SA"/>
        </w:rPr>
        <w:t>sitivity and specificity of the search. “Neuromuscular electrical stimulation” and “total knee arthroplasty” has been used as keywords. The overall risk of bias was determined according to the following domains: random s</w:t>
      </w:r>
      <w:r w:rsidR="00730FB6" w:rsidRPr="003C1279">
        <w:rPr>
          <w:rFonts w:cs="Times New Roman"/>
          <w:bCs/>
          <w:color w:val="212121"/>
          <w:kern w:val="0"/>
          <w:lang w:eastAsia="it-IT" w:bidi="ar-SA"/>
        </w:rPr>
        <w:t>e</w:t>
      </w:r>
      <w:r w:rsidR="00730FB6" w:rsidRPr="003C1279">
        <w:rPr>
          <w:rFonts w:cs="Times New Roman"/>
          <w:bCs/>
          <w:color w:val="212121"/>
          <w:kern w:val="0"/>
          <w:lang w:eastAsia="it-IT" w:bidi="ar-SA"/>
        </w:rPr>
        <w:t>quence generation, concealment, blinding mass of participants and staff, commissioning blind assessment results, the presence of incomplete data and loans received.</w:t>
      </w:r>
    </w:p>
    <w:p w14:paraId="07F0CDCC" w14:textId="77777777" w:rsidR="00730FB6" w:rsidRPr="003C1279" w:rsidRDefault="000C6B9E"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rPr>
      </w:pPr>
      <w:r w:rsidRPr="003C1279">
        <w:rPr>
          <w:rFonts w:cs="Times New Roman"/>
          <w:b/>
          <w:bCs/>
          <w:color w:val="212121"/>
          <w:kern w:val="0"/>
          <w:lang w:eastAsia="it-IT" w:bidi="ar-SA"/>
        </w:rPr>
        <w:t>Results</w:t>
      </w:r>
      <w:r w:rsidR="00730FB6" w:rsidRPr="003C1279">
        <w:rPr>
          <w:rFonts w:cs="Times New Roman"/>
          <w:bCs/>
          <w:color w:val="212121"/>
          <w:kern w:val="0"/>
          <w:lang w:eastAsia="it-IT" w:bidi="ar-SA"/>
        </w:rPr>
        <w:t xml:space="preserve">: out of the </w:t>
      </w:r>
      <w:r w:rsidR="001711D9" w:rsidRPr="003C1279">
        <w:rPr>
          <w:rFonts w:cs="Times New Roman"/>
          <w:bCs/>
          <w:color w:val="212121"/>
          <w:kern w:val="0"/>
          <w:lang w:eastAsia="it-IT" w:bidi="ar-SA"/>
        </w:rPr>
        <w:t>33</w:t>
      </w:r>
      <w:r w:rsidR="00730FB6" w:rsidRPr="003C1279">
        <w:rPr>
          <w:rFonts w:cs="Times New Roman"/>
          <w:bCs/>
          <w:color w:val="212121"/>
          <w:kern w:val="0"/>
          <w:lang w:eastAsia="it-IT" w:bidi="ar-SA"/>
        </w:rPr>
        <w:t xml:space="preserve"> identified studies, </w:t>
      </w:r>
      <w:r w:rsidR="00C12054" w:rsidRPr="003C1279">
        <w:rPr>
          <w:rFonts w:cs="Times New Roman"/>
          <w:bCs/>
          <w:color w:val="212121"/>
          <w:kern w:val="0"/>
          <w:lang w:eastAsia="it-IT" w:bidi="ar-SA"/>
        </w:rPr>
        <w:t>six</w:t>
      </w:r>
      <w:r w:rsidR="00730FB6" w:rsidRPr="003C1279">
        <w:rPr>
          <w:rFonts w:cs="Times New Roman"/>
          <w:bCs/>
          <w:color w:val="212121"/>
          <w:kern w:val="0"/>
          <w:lang w:eastAsia="it-IT" w:bidi="ar-SA"/>
        </w:rPr>
        <w:t xml:space="preserve"> were included in the meta-analysis (</w:t>
      </w:r>
      <w:r w:rsidR="00C12054" w:rsidRPr="003C1279">
        <w:rPr>
          <w:rFonts w:cs="Times New Roman"/>
          <w:bCs/>
          <w:color w:val="212121"/>
          <w:kern w:val="0"/>
          <w:lang w:eastAsia="it-IT" w:bidi="ar-SA"/>
        </w:rPr>
        <w:t>496</w:t>
      </w:r>
      <w:r w:rsidR="00730FB6" w:rsidRPr="003C1279">
        <w:rPr>
          <w:rFonts w:cs="Times New Roman"/>
          <w:bCs/>
          <w:color w:val="212121"/>
          <w:kern w:val="0"/>
          <w:lang w:eastAsia="it-IT" w:bidi="ar-SA"/>
        </w:rPr>
        <w:t xml:space="preserve"> participants). In these studies, one group of p</w:t>
      </w:r>
      <w:r w:rsidR="00730FB6" w:rsidRPr="003C1279">
        <w:rPr>
          <w:rFonts w:cs="Times New Roman"/>
          <w:bCs/>
          <w:color w:val="212121"/>
          <w:kern w:val="0"/>
          <w:lang w:eastAsia="it-IT" w:bidi="ar-SA"/>
        </w:rPr>
        <w:t>a</w:t>
      </w:r>
      <w:r w:rsidR="00730FB6" w:rsidRPr="003C1279">
        <w:rPr>
          <w:rFonts w:cs="Times New Roman"/>
          <w:bCs/>
          <w:color w:val="212121"/>
          <w:kern w:val="0"/>
          <w:lang w:eastAsia="it-IT" w:bidi="ar-SA"/>
        </w:rPr>
        <w:t>tients followed a rehabilitation protocol (control-group) and the other fo</w:t>
      </w:r>
      <w:r w:rsidR="00730FB6" w:rsidRPr="003C1279">
        <w:rPr>
          <w:rFonts w:cs="Times New Roman"/>
          <w:bCs/>
          <w:color w:val="212121"/>
          <w:kern w:val="0"/>
          <w:lang w:eastAsia="it-IT" w:bidi="ar-SA"/>
        </w:rPr>
        <w:t>l</w:t>
      </w:r>
      <w:r w:rsidR="00730FB6" w:rsidRPr="003C1279">
        <w:rPr>
          <w:rFonts w:cs="Times New Roman"/>
          <w:bCs/>
          <w:color w:val="212121"/>
          <w:kern w:val="0"/>
          <w:lang w:eastAsia="it-IT" w:bidi="ar-SA"/>
        </w:rPr>
        <w:t>lowed a rehabilitation program plus a session of neuromuscular electrical stimul</w:t>
      </w:r>
      <w:r w:rsidR="00730FB6" w:rsidRPr="003C1279">
        <w:rPr>
          <w:rFonts w:cs="Times New Roman"/>
          <w:bCs/>
          <w:color w:val="212121"/>
          <w:kern w:val="0"/>
          <w:lang w:eastAsia="it-IT" w:bidi="ar-SA"/>
        </w:rPr>
        <w:t>a</w:t>
      </w:r>
      <w:r w:rsidR="00730FB6" w:rsidRPr="003C1279">
        <w:rPr>
          <w:rFonts w:cs="Times New Roman"/>
          <w:bCs/>
          <w:color w:val="212121"/>
          <w:kern w:val="0"/>
          <w:lang w:eastAsia="it-IT" w:bidi="ar-SA"/>
        </w:rPr>
        <w:t>tion (NMES-group). Patients from the NMES-groups got the best scores (Up and Go Test, Stair-Climbing Test and Walk Test). The benefits from NMES were strong in the first postoperative weeks / months and gradually diminished</w:t>
      </w:r>
      <w:r w:rsidR="008E1D6F" w:rsidRPr="003C1279">
        <w:rPr>
          <w:rFonts w:cs="Times New Roman"/>
          <w:bCs/>
          <w:color w:val="212121"/>
          <w:kern w:val="0"/>
          <w:lang w:eastAsia="it-IT" w:bidi="ar-SA"/>
        </w:rPr>
        <w:t>.</w:t>
      </w:r>
    </w:p>
    <w:p w14:paraId="3C13D07E" w14:textId="77777777" w:rsidR="00730FB6" w:rsidRPr="003C1279" w:rsidRDefault="00730FB6"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rPr>
      </w:pPr>
      <w:r w:rsidRPr="003C1279">
        <w:rPr>
          <w:rFonts w:cs="Times New Roman"/>
          <w:b/>
          <w:bCs/>
          <w:color w:val="212121"/>
          <w:kern w:val="0"/>
          <w:lang w:eastAsia="it-IT" w:bidi="ar-SA"/>
        </w:rPr>
        <w:t>Conclusions:</w:t>
      </w:r>
      <w:r w:rsidRPr="003C1279">
        <w:rPr>
          <w:rFonts w:cs="Times New Roman"/>
          <w:bCs/>
          <w:color w:val="212121"/>
          <w:kern w:val="0"/>
          <w:lang w:eastAsia="it-IT" w:bidi="ar-SA"/>
        </w:rPr>
        <w:t xml:space="preserve"> there is scientific evidence to sustain that the NMES a</w:t>
      </w:r>
      <w:r w:rsidRPr="003C1279">
        <w:rPr>
          <w:rFonts w:cs="Times New Roman"/>
          <w:bCs/>
          <w:color w:val="212121"/>
          <w:kern w:val="0"/>
          <w:lang w:eastAsia="it-IT" w:bidi="ar-SA"/>
        </w:rPr>
        <w:t>l</w:t>
      </w:r>
      <w:r w:rsidRPr="003C1279">
        <w:rPr>
          <w:rFonts w:cs="Times New Roman"/>
          <w:bCs/>
          <w:color w:val="212121"/>
          <w:kern w:val="0"/>
          <w:lang w:eastAsia="it-IT" w:bidi="ar-SA"/>
        </w:rPr>
        <w:t>lows a better functional recovery following the total knee arthroplasty, e</w:t>
      </w:r>
      <w:r w:rsidRPr="003C1279">
        <w:rPr>
          <w:rFonts w:cs="Times New Roman"/>
          <w:bCs/>
          <w:color w:val="212121"/>
          <w:kern w:val="0"/>
          <w:lang w:eastAsia="it-IT" w:bidi="ar-SA"/>
        </w:rPr>
        <w:t>s</w:t>
      </w:r>
      <w:r w:rsidRPr="003C1279">
        <w:rPr>
          <w:rFonts w:cs="Times New Roman"/>
          <w:bCs/>
          <w:color w:val="212121"/>
          <w:kern w:val="0"/>
          <w:lang w:eastAsia="it-IT" w:bidi="ar-SA"/>
        </w:rPr>
        <w:t>pecially in the first period. This is particularly true for individuals with a s</w:t>
      </w:r>
      <w:r w:rsidRPr="003C1279">
        <w:rPr>
          <w:rFonts w:cs="Times New Roman"/>
          <w:bCs/>
          <w:color w:val="212121"/>
          <w:kern w:val="0"/>
          <w:lang w:eastAsia="it-IT" w:bidi="ar-SA"/>
        </w:rPr>
        <w:t>e</w:t>
      </w:r>
      <w:r w:rsidRPr="003C1279">
        <w:rPr>
          <w:rFonts w:cs="Times New Roman"/>
          <w:bCs/>
          <w:color w:val="212121"/>
          <w:kern w:val="0"/>
          <w:lang w:eastAsia="it-IT" w:bidi="ar-SA"/>
        </w:rPr>
        <w:t>vere lack of muscular activation of neuronal-type.</w:t>
      </w:r>
    </w:p>
    <w:p w14:paraId="5F325341" w14:textId="77777777" w:rsidR="00730FB6" w:rsidRPr="003C1279" w:rsidRDefault="00730FB6"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b/>
          <w:bCs/>
          <w:color w:val="212121"/>
          <w:kern w:val="0"/>
          <w:lang w:eastAsia="it-IT" w:bidi="ar-SA"/>
        </w:rPr>
      </w:pPr>
    </w:p>
    <w:p w14:paraId="28B0CA84" w14:textId="77777777" w:rsidR="00730FB6" w:rsidRPr="003C1279" w:rsidRDefault="00730FB6"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bCs/>
          <w:color w:val="212121"/>
          <w:kern w:val="0"/>
          <w:lang w:eastAsia="it-IT" w:bidi="ar-SA"/>
        </w:rPr>
      </w:pPr>
      <w:r w:rsidRPr="003C1279">
        <w:rPr>
          <w:rFonts w:cs="Times New Roman"/>
          <w:b/>
          <w:bCs/>
          <w:color w:val="212121"/>
          <w:kern w:val="0"/>
          <w:lang w:eastAsia="it-IT" w:bidi="ar-SA"/>
        </w:rPr>
        <w:t>Key words</w:t>
      </w:r>
    </w:p>
    <w:p w14:paraId="215604FE" w14:textId="77777777" w:rsidR="00730FB6" w:rsidRPr="003C1279" w:rsidRDefault="00374FFF"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rPr>
      </w:pPr>
      <w:r w:rsidRPr="003C1279">
        <w:rPr>
          <w:rFonts w:cs="Times New Roman"/>
          <w:bCs/>
          <w:color w:val="212121"/>
          <w:kern w:val="0"/>
          <w:lang w:eastAsia="it-IT" w:bidi="ar-SA"/>
        </w:rPr>
        <w:t>Neuromuscular Electrical</w:t>
      </w:r>
      <w:r w:rsidR="00730FB6" w:rsidRPr="003C1279">
        <w:rPr>
          <w:rFonts w:cs="Times New Roman"/>
          <w:bCs/>
          <w:color w:val="212121"/>
          <w:kern w:val="0"/>
          <w:lang w:eastAsia="it-IT" w:bidi="ar-SA"/>
        </w:rPr>
        <w:t xml:space="preserve"> Stimulation Total  Knee Arthroplasty </w:t>
      </w:r>
    </w:p>
    <w:p w14:paraId="7C0A5258" w14:textId="77777777" w:rsidR="00C724D8" w:rsidRPr="003C1279" w:rsidRDefault="00C724D8"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bCs/>
          <w:color w:val="212121"/>
          <w:kern w:val="0"/>
          <w:lang w:eastAsia="it-IT" w:bidi="ar-SA"/>
        </w:rPr>
      </w:pPr>
    </w:p>
    <w:p w14:paraId="33060483" w14:textId="77777777" w:rsidR="00C724D8" w:rsidRPr="003C1279" w:rsidRDefault="00D62801" w:rsidP="003C127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left="-90"/>
        <w:jc w:val="both"/>
        <w:textAlignment w:val="auto"/>
        <w:rPr>
          <w:rFonts w:cs="Times New Roman"/>
          <w:lang w:val="en-GB"/>
        </w:rPr>
      </w:pPr>
      <w:r w:rsidRPr="003C1279">
        <w:rPr>
          <w:rFonts w:cs="Times New Roman"/>
          <w:b/>
          <w:bCs/>
          <w:color w:val="212121"/>
          <w:kern w:val="0"/>
          <w:lang w:eastAsia="it-IT" w:bidi="ar-SA"/>
        </w:rPr>
        <w:t xml:space="preserve">Introduction </w:t>
      </w:r>
    </w:p>
    <w:p w14:paraId="08E7E9E3"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Total knee arthroplasty (TKA) is effective for relieving pain and improving function in patients with </w:t>
      </w:r>
      <w:r w:rsidR="00244EE9" w:rsidRPr="003C1279">
        <w:rPr>
          <w:rFonts w:cs="Times New Roman"/>
        </w:rPr>
        <w:t>end stage arthritis of the knee</w:t>
      </w:r>
      <w:r w:rsidRPr="003C1279">
        <w:rPr>
          <w:rFonts w:cs="Times New Roman"/>
        </w:rPr>
        <w:t xml:space="preserve"> </w:t>
      </w:r>
      <w:r w:rsidR="00246FC1" w:rsidRPr="003C1279">
        <w:rPr>
          <w:rFonts w:cs="Times New Roman"/>
        </w:rPr>
        <w:t>[1-5]</w:t>
      </w:r>
      <w:r w:rsidRPr="003C1279">
        <w:rPr>
          <w:rFonts w:cs="Times New Roman"/>
        </w:rPr>
        <w:t>. However, a</w:t>
      </w:r>
      <w:r w:rsidRPr="003C1279">
        <w:rPr>
          <w:rFonts w:cs="Times New Roman"/>
          <w:color w:val="212121"/>
          <w:kern w:val="0"/>
          <w:lang w:eastAsia="it-IT" w:bidi="ar-SA"/>
        </w:rPr>
        <w:t xml:space="preserve"> complete functional recovery may not be achieved, with up to 20% of patients with a certain degree of dissatisfaction after TKA </w:t>
      </w:r>
      <w:r w:rsidR="00246FC1" w:rsidRPr="003C1279">
        <w:rPr>
          <w:rFonts w:cs="Times New Roman"/>
          <w:color w:val="212121"/>
          <w:kern w:val="0"/>
          <w:lang w:eastAsia="it-IT" w:bidi="ar-SA"/>
        </w:rPr>
        <w:t>[6,</w:t>
      </w:r>
      <w:r w:rsidR="00D06FF0" w:rsidRPr="003C1279">
        <w:rPr>
          <w:rFonts w:cs="Times New Roman"/>
          <w:color w:val="212121"/>
          <w:kern w:val="0"/>
          <w:lang w:eastAsia="it-IT" w:bidi="ar-SA"/>
        </w:rPr>
        <w:t xml:space="preserve"> </w:t>
      </w:r>
      <w:r w:rsidR="00246FC1" w:rsidRPr="003C1279">
        <w:rPr>
          <w:rFonts w:cs="Times New Roman"/>
          <w:color w:val="212121"/>
          <w:kern w:val="0"/>
          <w:lang w:eastAsia="it-IT" w:bidi="ar-SA"/>
        </w:rPr>
        <w:t>7]</w:t>
      </w:r>
      <w:r w:rsidRPr="003C1279">
        <w:rPr>
          <w:rFonts w:cs="Times New Roman"/>
          <w:color w:val="212121"/>
          <w:kern w:val="0"/>
          <w:lang w:eastAsia="it-IT" w:bidi="ar-SA"/>
        </w:rPr>
        <w:t>: pain, stiffness and weakness are among the leading causes of this dissatisfaction</w:t>
      </w:r>
      <w:r w:rsidR="00246FC1" w:rsidRPr="003C1279">
        <w:rPr>
          <w:rFonts w:cs="Times New Roman"/>
          <w:color w:val="212121"/>
          <w:kern w:val="0"/>
          <w:lang w:eastAsia="it-IT" w:bidi="ar-SA"/>
        </w:rPr>
        <w:t xml:space="preserve"> [8]</w:t>
      </w:r>
      <w:r w:rsidRPr="003C1279">
        <w:rPr>
          <w:rFonts w:cs="Times New Roman"/>
          <w:color w:val="212121"/>
          <w:kern w:val="0"/>
          <w:lang w:eastAsia="it-IT" w:bidi="ar-SA"/>
        </w:rPr>
        <w:t xml:space="preserve">. Weakness in particular, which is </w:t>
      </w:r>
      <w:r w:rsidR="000C6B9E" w:rsidRPr="003C1279">
        <w:rPr>
          <w:rFonts w:cs="Times New Roman"/>
          <w:color w:val="212121"/>
          <w:kern w:val="0"/>
          <w:lang w:eastAsia="it-IT" w:bidi="ar-SA"/>
        </w:rPr>
        <w:t xml:space="preserve">often </w:t>
      </w:r>
      <w:r w:rsidRPr="003C1279">
        <w:rPr>
          <w:rFonts w:cs="Times New Roman"/>
          <w:color w:val="212121"/>
          <w:kern w:val="0"/>
          <w:lang w:eastAsia="it-IT" w:bidi="ar-SA"/>
        </w:rPr>
        <w:t>already present before surgery, still remains after surgery</w:t>
      </w:r>
      <w:r w:rsidR="000C6B9E" w:rsidRPr="003C1279">
        <w:rPr>
          <w:rFonts w:cs="Times New Roman"/>
          <w:color w:val="212121"/>
          <w:kern w:val="0"/>
          <w:lang w:eastAsia="it-IT" w:bidi="ar-SA"/>
        </w:rPr>
        <w:t xml:space="preserve"> for long time, in fact </w:t>
      </w:r>
      <w:r w:rsidRPr="003C1279">
        <w:rPr>
          <w:rFonts w:cs="Times New Roman"/>
          <w:color w:val="212121"/>
          <w:kern w:val="0"/>
          <w:shd w:val="clear" w:color="auto" w:fill="FFFFFF"/>
          <w:lang w:eastAsia="it-IT" w:bidi="ar-SA"/>
        </w:rPr>
        <w:t xml:space="preserve">differences </w:t>
      </w:r>
      <w:r w:rsidR="000C6B9E" w:rsidRPr="003C1279">
        <w:rPr>
          <w:rFonts w:cs="Times New Roman"/>
          <w:color w:val="212121"/>
          <w:kern w:val="0"/>
          <w:lang w:eastAsia="it-IT" w:bidi="ar-SA"/>
        </w:rPr>
        <w:t xml:space="preserve"> </w:t>
      </w:r>
      <w:r w:rsidRPr="003C1279">
        <w:rPr>
          <w:rFonts w:cs="Times New Roman"/>
          <w:color w:val="212121"/>
          <w:kern w:val="0"/>
          <w:lang w:eastAsia="it-IT" w:bidi="ar-SA"/>
        </w:rPr>
        <w:t xml:space="preserve"> have been shown </w:t>
      </w:r>
      <w:r w:rsidRPr="003C1279">
        <w:rPr>
          <w:rFonts w:cs="Times New Roman"/>
          <w:color w:val="212121"/>
          <w:kern w:val="0"/>
          <w:shd w:val="clear" w:color="auto" w:fill="FFFFFF"/>
          <w:lang w:eastAsia="it-IT" w:bidi="ar-SA"/>
        </w:rPr>
        <w:t>between subjects after TKA surgery and healthy adults of the same age</w:t>
      </w:r>
      <w:r w:rsidR="00246FC1" w:rsidRPr="003C1279">
        <w:rPr>
          <w:rFonts w:cs="Times New Roman"/>
          <w:color w:val="212121"/>
          <w:kern w:val="0"/>
          <w:shd w:val="clear" w:color="auto" w:fill="FFFFFF"/>
          <w:lang w:eastAsia="it-IT" w:bidi="ar-SA"/>
        </w:rPr>
        <w:t xml:space="preserve"> [9]</w:t>
      </w:r>
      <w:r w:rsidRPr="003C1279">
        <w:rPr>
          <w:rFonts w:cs="Times New Roman"/>
        </w:rPr>
        <w:t>. These functional deficits may have major consequences for the patients from a clinical standpoint: reduced walking speed and balance, difficulties with stairs and increased risk of falls</w:t>
      </w:r>
      <w:r w:rsidR="00246FC1" w:rsidRPr="003C1279">
        <w:rPr>
          <w:rFonts w:cs="Times New Roman"/>
        </w:rPr>
        <w:t xml:space="preserve"> [10]</w:t>
      </w:r>
      <w:r w:rsidRPr="003C1279">
        <w:rPr>
          <w:rFonts w:cs="Times New Roman"/>
        </w:rPr>
        <w:t>.</w:t>
      </w:r>
    </w:p>
    <w:p w14:paraId="44046A34"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Neuromuscular electrical stimulation (NMES) has been proposed as an adjunct to traditional rehabilitation programs for patients after TKA, especially for those with deficit of the voluntary activation of the muscle and postoperative weakness</w:t>
      </w:r>
      <w:r w:rsidR="00246FC1" w:rsidRPr="003C1279">
        <w:rPr>
          <w:rFonts w:cs="Times New Roman"/>
        </w:rPr>
        <w:t xml:space="preserve"> [11,12]. </w:t>
      </w:r>
      <w:r w:rsidRPr="003C1279">
        <w:rPr>
          <w:rFonts w:cs="Times New Roman"/>
        </w:rPr>
        <w:t xml:space="preserve"> The contractions induced by electrical stimulation can lead to a</w:t>
      </w:r>
      <w:r w:rsidR="00244EE9" w:rsidRPr="003C1279">
        <w:rPr>
          <w:rFonts w:cs="Times New Roman"/>
        </w:rPr>
        <w:t xml:space="preserve"> </w:t>
      </w:r>
      <w:r w:rsidRPr="003C1279">
        <w:rPr>
          <w:rFonts w:cs="Times New Roman"/>
        </w:rPr>
        <w:t xml:space="preserve">more efficient muscle training with a greater and more selective recruitment of type II muscle fibers than voluntary contractions </w:t>
      </w:r>
      <w:r w:rsidR="005E7251" w:rsidRPr="003C1279">
        <w:rPr>
          <w:rFonts w:cs="Times New Roman"/>
        </w:rPr>
        <w:t>[13, 14]</w:t>
      </w:r>
      <w:r w:rsidRPr="003C1279">
        <w:rPr>
          <w:rFonts w:cs="Times New Roman"/>
        </w:rPr>
        <w:t xml:space="preserve">.  In addition, the inputs generated by NMES may facilitate plastic </w:t>
      </w:r>
      <w:r w:rsidRPr="003C1279">
        <w:rPr>
          <w:rFonts w:cs="Times New Roman"/>
        </w:rPr>
        <w:lastRenderedPageBreak/>
        <w:t xml:space="preserve">changes in the networks of the senso-motor neurons at the level of the central nervous system, thus leading to a strengthening of the signals and pathways dedicated to the muscle control and strength </w:t>
      </w:r>
      <w:r w:rsidR="005E7251" w:rsidRPr="003C1279">
        <w:rPr>
          <w:rFonts w:cs="Times New Roman"/>
        </w:rPr>
        <w:t>[15, 16].</w:t>
      </w:r>
    </w:p>
    <w:p w14:paraId="786B2454" w14:textId="77777777" w:rsidR="00C724D8" w:rsidRPr="003C1279" w:rsidRDefault="00C724D8" w:rsidP="003C1279">
      <w:pPr>
        <w:pStyle w:val="Standard"/>
        <w:autoSpaceDE w:val="0"/>
        <w:spacing w:line="276" w:lineRule="auto"/>
        <w:ind w:left="-90"/>
        <w:jc w:val="both"/>
        <w:rPr>
          <w:rFonts w:cs="Times New Roman"/>
        </w:rPr>
      </w:pPr>
    </w:p>
    <w:p w14:paraId="415DA9BE"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The primary purpose of this meta-analysis was to analyze the randomized controlled trials reported in literature that compared the results of a traditional rehabilitation program after TKA with a rehabilitation program implemented with the neuromuscular electrical stimulation.</w:t>
      </w:r>
    </w:p>
    <w:p w14:paraId="4145C859" w14:textId="77777777" w:rsidR="00C724D8" w:rsidRPr="003C1279" w:rsidRDefault="00C724D8" w:rsidP="003C1279">
      <w:pPr>
        <w:pStyle w:val="Standard"/>
        <w:autoSpaceDE w:val="0"/>
        <w:spacing w:line="276" w:lineRule="auto"/>
        <w:ind w:left="-90"/>
        <w:jc w:val="both"/>
        <w:rPr>
          <w:rFonts w:cs="Times New Roman"/>
        </w:rPr>
      </w:pPr>
    </w:p>
    <w:p w14:paraId="2D23CE82" w14:textId="77777777" w:rsidR="00C724D8" w:rsidRPr="003C1279" w:rsidRDefault="00D62801" w:rsidP="003C1279">
      <w:pPr>
        <w:pStyle w:val="Standard"/>
        <w:autoSpaceDE w:val="0"/>
        <w:spacing w:line="276" w:lineRule="auto"/>
        <w:ind w:left="-90"/>
        <w:jc w:val="both"/>
        <w:rPr>
          <w:rFonts w:cs="Times New Roman"/>
          <w:b/>
          <w:bCs/>
        </w:rPr>
      </w:pPr>
      <w:r w:rsidRPr="003C1279">
        <w:rPr>
          <w:rFonts w:cs="Times New Roman"/>
          <w:b/>
          <w:bCs/>
        </w:rPr>
        <w:t>Materials and Methods</w:t>
      </w:r>
    </w:p>
    <w:p w14:paraId="51B61257" w14:textId="77777777" w:rsidR="00C724D8" w:rsidRPr="003C1279" w:rsidRDefault="00FD159B" w:rsidP="003C1279">
      <w:pPr>
        <w:pStyle w:val="Standard"/>
        <w:autoSpaceDE w:val="0"/>
        <w:spacing w:line="276" w:lineRule="auto"/>
        <w:ind w:left="-90"/>
        <w:jc w:val="both"/>
        <w:rPr>
          <w:rFonts w:cs="Times New Roman"/>
          <w:bCs/>
          <w:i/>
        </w:rPr>
      </w:pPr>
      <w:r w:rsidRPr="003C1279">
        <w:rPr>
          <w:rFonts w:cs="Times New Roman"/>
          <w:bCs/>
          <w:i/>
        </w:rPr>
        <w:t>Literature search strategies</w:t>
      </w:r>
    </w:p>
    <w:p w14:paraId="50EA6786"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The methodology of this study complies with PRISMA guidelines of 2009 </w:t>
      </w:r>
      <w:r w:rsidR="008D1C3B" w:rsidRPr="003C1279">
        <w:rPr>
          <w:rFonts w:cs="Times New Roman"/>
        </w:rPr>
        <w:t>[17]</w:t>
      </w:r>
      <w:r w:rsidRPr="003C1279">
        <w:rPr>
          <w:rFonts w:cs="Times New Roman"/>
        </w:rPr>
        <w:t>. The research has been conducted with Electronic databases (MEDLINE, PubMed, Cochrane Library, PEDro) and Bibliographies of ident</w:t>
      </w:r>
      <w:r w:rsidR="00244EE9" w:rsidRPr="003C1279">
        <w:rPr>
          <w:rFonts w:cs="Times New Roman"/>
        </w:rPr>
        <w:t xml:space="preserve">ified studies and review, </w:t>
      </w:r>
      <w:r w:rsidRPr="003C1279">
        <w:rPr>
          <w:rFonts w:cs="Times New Roman"/>
        </w:rPr>
        <w:t xml:space="preserve">from June </w:t>
      </w:r>
      <w:r w:rsidR="00324D96" w:rsidRPr="003C1279">
        <w:rPr>
          <w:rFonts w:cs="Times New Roman"/>
        </w:rPr>
        <w:t>2000</w:t>
      </w:r>
      <w:r w:rsidRPr="003C1279">
        <w:rPr>
          <w:rFonts w:cs="Times New Roman"/>
        </w:rPr>
        <w:t xml:space="preserve"> to</w:t>
      </w:r>
      <w:r w:rsidR="00EE6501" w:rsidRPr="003C1279">
        <w:rPr>
          <w:rFonts w:cs="Times New Roman"/>
        </w:rPr>
        <w:t xml:space="preserve"> June 2016</w:t>
      </w:r>
      <w:r w:rsidRPr="003C1279">
        <w:rPr>
          <w:rFonts w:cs="Times New Roman"/>
        </w:rPr>
        <w:t xml:space="preserve">. Within the literature search on Pubmed, terms or "MeSH terms" and Boolean operators were employed such as keywords, to increase the sensitivity and specificity of the search. Keywords used for research were: "neuromuscular electrical stimulation” and “total knee arthroplasty". The PICOS approach has been used to formulate correctly the questions (Patients, Intervention, Comparator, outcomes, Study design) </w:t>
      </w:r>
      <w:r w:rsidR="008D1C3B" w:rsidRPr="003C1279">
        <w:rPr>
          <w:rFonts w:cs="Times New Roman"/>
        </w:rPr>
        <w:t>[17]</w:t>
      </w:r>
      <w:r w:rsidRPr="003C1279">
        <w:rPr>
          <w:rFonts w:cs="Times New Roman"/>
        </w:rPr>
        <w:t>.</w:t>
      </w:r>
    </w:p>
    <w:p w14:paraId="4B926A4D" w14:textId="77777777" w:rsidR="00C724D8" w:rsidRPr="003C1279" w:rsidRDefault="00142827" w:rsidP="003C1279">
      <w:pPr>
        <w:pStyle w:val="Standard"/>
        <w:autoSpaceDE w:val="0"/>
        <w:spacing w:line="276" w:lineRule="auto"/>
        <w:ind w:left="-90"/>
        <w:jc w:val="both"/>
        <w:rPr>
          <w:rFonts w:cs="Times New Roman"/>
          <w:i/>
        </w:rPr>
      </w:pPr>
      <w:r w:rsidRPr="003C1279">
        <w:rPr>
          <w:rFonts w:cs="Times New Roman"/>
          <w:i/>
        </w:rPr>
        <w:t>Inclusion criteria</w:t>
      </w:r>
    </w:p>
    <w:p w14:paraId="4B04F805"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The studies included in the meta-analysis were required to meet the following criteria: a) randomized controlled trials evaluating the efficacy of NMES in patients undergoing unilateral TKA; b) rehabilitation with NMES for a minimum duration of </w:t>
      </w:r>
      <w:r w:rsidR="001711D9" w:rsidRPr="003C1279">
        <w:rPr>
          <w:rFonts w:cs="Times New Roman"/>
        </w:rPr>
        <w:t>4</w:t>
      </w:r>
      <w:r w:rsidRPr="003C1279">
        <w:rPr>
          <w:rFonts w:cs="Times New Roman"/>
        </w:rPr>
        <w:t xml:space="preserve"> weeks; c) p</w:t>
      </w:r>
      <w:r w:rsidR="00EE6501" w:rsidRPr="003C1279">
        <w:rPr>
          <w:rFonts w:cs="Times New Roman"/>
        </w:rPr>
        <w:t xml:space="preserve">resence of a control group; d) </w:t>
      </w:r>
      <w:r w:rsidRPr="003C1279">
        <w:rPr>
          <w:rFonts w:cs="Times New Roman"/>
        </w:rPr>
        <w:t>clinical outcomes defined a priori. "English language" and "t</w:t>
      </w:r>
      <w:r w:rsidR="00142827" w:rsidRPr="003C1279">
        <w:rPr>
          <w:rFonts w:cs="Times New Roman"/>
        </w:rPr>
        <w:t xml:space="preserve">he last 16 </w:t>
      </w:r>
      <w:r w:rsidRPr="003C1279">
        <w:rPr>
          <w:rFonts w:cs="Times New Roman"/>
        </w:rPr>
        <w:t>years" have been established as limits for the research. Tab</w:t>
      </w:r>
      <w:r w:rsidR="00D06FF0" w:rsidRPr="003C1279">
        <w:rPr>
          <w:rFonts w:cs="Times New Roman"/>
        </w:rPr>
        <w:t>le</w:t>
      </w:r>
      <w:r w:rsidRPr="003C1279">
        <w:rPr>
          <w:rFonts w:cs="Times New Roman"/>
        </w:rPr>
        <w:t xml:space="preserve"> 1 reports inclusion and exclusion criteria.</w:t>
      </w:r>
    </w:p>
    <w:p w14:paraId="18ABAED0" w14:textId="77777777" w:rsidR="00C724D8" w:rsidRPr="003C1279" w:rsidRDefault="00142827" w:rsidP="003C1279">
      <w:pPr>
        <w:pStyle w:val="Standard"/>
        <w:autoSpaceDE w:val="0"/>
        <w:spacing w:line="276" w:lineRule="auto"/>
        <w:ind w:left="-90"/>
        <w:jc w:val="both"/>
        <w:rPr>
          <w:rFonts w:cs="Times New Roman"/>
          <w:bCs/>
          <w:i/>
        </w:rPr>
      </w:pPr>
      <w:r w:rsidRPr="003C1279">
        <w:rPr>
          <w:rFonts w:cs="Times New Roman"/>
          <w:bCs/>
          <w:i/>
        </w:rPr>
        <w:t>Data collection</w:t>
      </w:r>
    </w:p>
    <w:p w14:paraId="0D5E109F"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A standardized data extraction was used for data collection and Excell program was used for archiving and analysis. The characteristics of the selected studies have been extracted, included: publication date, demographic characteristics of participants (mean age; percentage of females; Mean Body Mass Index - BMI), intervention studies, sample sizes (number of subjects in the intervention and control groups), the study design, the type of action taken (commencement, duration and frequency of treatment; intensity, frequency, duty cycle and pulse duration; electrode size), outcomes used by individual studies and the period of follow up.</w:t>
      </w:r>
    </w:p>
    <w:p w14:paraId="6CB059EF" w14:textId="77777777" w:rsidR="00C724D8" w:rsidRPr="003C1279" w:rsidRDefault="00FD159B" w:rsidP="003C1279">
      <w:pPr>
        <w:pStyle w:val="Standard"/>
        <w:autoSpaceDE w:val="0"/>
        <w:spacing w:line="276" w:lineRule="auto"/>
        <w:ind w:left="-90"/>
        <w:jc w:val="both"/>
        <w:rPr>
          <w:rFonts w:cs="Times New Roman"/>
          <w:bCs/>
          <w:i/>
        </w:rPr>
      </w:pPr>
      <w:r w:rsidRPr="003C1279">
        <w:rPr>
          <w:rFonts w:cs="Times New Roman"/>
          <w:bCs/>
          <w:i/>
        </w:rPr>
        <w:t>Analyses of potential bias</w:t>
      </w:r>
    </w:p>
    <w:p w14:paraId="44770C2D"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The overall risk of bias was determined according to the following domains: generate random sequence, concealment of allocation, </w:t>
      </w:r>
      <w:r w:rsidR="00142827" w:rsidRPr="003C1279">
        <w:rPr>
          <w:rFonts w:cs="Times New Roman"/>
        </w:rPr>
        <w:t>blind setting</w:t>
      </w:r>
      <w:r w:rsidRPr="003C1279">
        <w:rPr>
          <w:rFonts w:cs="Times New Roman"/>
        </w:rPr>
        <w:t xml:space="preserve"> of participants and staff, blind assessment of </w:t>
      </w:r>
      <w:r w:rsidR="00142827" w:rsidRPr="003C1279">
        <w:rPr>
          <w:rFonts w:cs="Times New Roman"/>
        </w:rPr>
        <w:t xml:space="preserve">the </w:t>
      </w:r>
      <w:r w:rsidRPr="003C1279">
        <w:rPr>
          <w:rFonts w:cs="Times New Roman"/>
        </w:rPr>
        <w:t>results, incomplete data and funding received.</w:t>
      </w:r>
    </w:p>
    <w:p w14:paraId="261AF8FC" w14:textId="77777777" w:rsidR="00C724D8" w:rsidRPr="003C1279" w:rsidRDefault="00FD159B" w:rsidP="003C1279">
      <w:pPr>
        <w:pStyle w:val="Standard"/>
        <w:autoSpaceDE w:val="0"/>
        <w:spacing w:line="276" w:lineRule="auto"/>
        <w:ind w:left="-90"/>
        <w:jc w:val="both"/>
        <w:rPr>
          <w:rFonts w:cs="Times New Roman"/>
          <w:bCs/>
          <w:i/>
        </w:rPr>
      </w:pPr>
      <w:r w:rsidRPr="003C1279">
        <w:rPr>
          <w:rFonts w:cs="Times New Roman"/>
          <w:bCs/>
          <w:i/>
        </w:rPr>
        <w:t>Statistical analysis</w:t>
      </w:r>
    </w:p>
    <w:p w14:paraId="73CE9ED4" w14:textId="77777777" w:rsidR="00FE3DC3" w:rsidRPr="003C1279" w:rsidRDefault="00FD159B" w:rsidP="003C1279">
      <w:pPr>
        <w:pStyle w:val="Standard"/>
        <w:autoSpaceDE w:val="0"/>
        <w:spacing w:line="276" w:lineRule="auto"/>
        <w:ind w:left="-90"/>
        <w:jc w:val="both"/>
        <w:rPr>
          <w:rFonts w:cs="Times New Roman"/>
        </w:rPr>
      </w:pPr>
      <w:r w:rsidRPr="003C1279">
        <w:rPr>
          <w:rFonts w:cs="Times New Roman"/>
        </w:rPr>
        <w:t>The synthesis of the quantitative data was performed using electronic tables in Microsoft Excell specially designed for creating meta-analysis. The tables were made following the guidelines provided by the Creative Commons Attribution License and published on Bio Med Central Research Notes</w:t>
      </w:r>
      <w:r w:rsidR="008D1C3B" w:rsidRPr="003C1279">
        <w:rPr>
          <w:rFonts w:cs="Times New Roman"/>
        </w:rPr>
        <w:t xml:space="preserve"> [18]</w:t>
      </w:r>
      <w:r w:rsidRPr="003C1279">
        <w:rPr>
          <w:rFonts w:cs="Times New Roman"/>
        </w:rPr>
        <w:t>.</w:t>
      </w:r>
      <w:r w:rsidR="00C11F63" w:rsidRPr="003C1279">
        <w:rPr>
          <w:rFonts w:cs="Times New Roman"/>
        </w:rPr>
        <w:t xml:space="preserve"> </w:t>
      </w:r>
    </w:p>
    <w:p w14:paraId="58B02F90" w14:textId="77777777" w:rsidR="008D1C3B" w:rsidRPr="003C1279" w:rsidRDefault="00FE3DC3" w:rsidP="003C1279">
      <w:pPr>
        <w:pStyle w:val="Standard"/>
        <w:autoSpaceDE w:val="0"/>
        <w:spacing w:line="276" w:lineRule="auto"/>
        <w:ind w:left="-90"/>
        <w:jc w:val="both"/>
        <w:rPr>
          <w:rFonts w:cs="Times New Roman"/>
        </w:rPr>
      </w:pPr>
      <w:r w:rsidRPr="003C1279">
        <w:rPr>
          <w:rFonts w:cs="Times New Roman"/>
        </w:rPr>
        <w:t xml:space="preserve">When </w:t>
      </w:r>
      <w:r w:rsidR="00274593" w:rsidRPr="003C1279">
        <w:rPr>
          <w:rFonts w:cs="Times New Roman"/>
        </w:rPr>
        <w:t xml:space="preserve">data on at least three studies were available, </w:t>
      </w:r>
      <w:r w:rsidRPr="003C1279">
        <w:rPr>
          <w:rFonts w:cs="Times New Roman"/>
        </w:rPr>
        <w:t xml:space="preserve">a meta-analysis was carried out. </w:t>
      </w:r>
      <w:r w:rsidR="00274593" w:rsidRPr="003C1279">
        <w:rPr>
          <w:rFonts w:cs="Times New Roman"/>
          <w:color w:val="2E2E2E"/>
          <w:shd w:val="clear" w:color="auto" w:fill="FFFFFF"/>
        </w:rPr>
        <w:lastRenderedPageBreak/>
        <w:t>Heterogeneity across studies was quantified using I-squared statistics</w:t>
      </w:r>
      <w:r w:rsidR="0020483D" w:rsidRPr="003C1279">
        <w:rPr>
          <w:rFonts w:cs="Times New Roman"/>
          <w:color w:val="2E2E2E"/>
          <w:shd w:val="clear" w:color="auto" w:fill="FFFFFF"/>
        </w:rPr>
        <w:t xml:space="preserve"> and tested with Q Cochran’s statistics</w:t>
      </w:r>
      <w:r w:rsidR="00274593" w:rsidRPr="003C1279">
        <w:rPr>
          <w:rFonts w:cs="Times New Roman"/>
          <w:color w:val="2E2E2E"/>
          <w:shd w:val="clear" w:color="auto" w:fill="FFFFFF"/>
        </w:rPr>
        <w:t>. Given the small number of studies t</w:t>
      </w:r>
      <w:r w:rsidR="003F2976" w:rsidRPr="003C1279">
        <w:rPr>
          <w:rFonts w:cs="Times New Roman"/>
          <w:color w:val="2E2E2E"/>
          <w:shd w:val="clear" w:color="auto" w:fill="FFFFFF"/>
        </w:rPr>
        <w:t xml:space="preserve">he pooled mean difference was estimated along with the corresponding 95% confidence intervals (CI), using the </w:t>
      </w:r>
      <w:r w:rsidR="00274593" w:rsidRPr="003C1279">
        <w:rPr>
          <w:rFonts w:cs="Times New Roman"/>
          <w:color w:val="2E2E2E"/>
          <w:shd w:val="clear" w:color="auto" w:fill="FFFFFF"/>
        </w:rPr>
        <w:t>fixed-effect model</w:t>
      </w:r>
      <w:r w:rsidR="003F2976" w:rsidRPr="003C1279">
        <w:rPr>
          <w:rFonts w:cs="Times New Roman"/>
          <w:color w:val="2E2E2E"/>
          <w:shd w:val="clear" w:color="auto" w:fill="FFFFFF"/>
        </w:rPr>
        <w:t xml:space="preserve"> weighting scheme. To assess publication bias, funnel plot techniques, Begg’s rank test and Egger’s regression test were intended to be used, as appropriate given the known limitations of these methods. Statistical analyses were carried out with R, </w:t>
      </w:r>
      <w:commentRangeStart w:id="0"/>
      <w:r w:rsidR="003F2976" w:rsidRPr="003C1279">
        <w:rPr>
          <w:rFonts w:cs="Times New Roman"/>
          <w:color w:val="2E2E2E"/>
          <w:shd w:val="clear" w:color="auto" w:fill="FFFFFF"/>
        </w:rPr>
        <w:t xml:space="preserve">version 3.2.5 </w:t>
      </w:r>
      <w:commentRangeEnd w:id="0"/>
      <w:r w:rsidR="003F2976" w:rsidRPr="003C1279">
        <w:rPr>
          <w:rStyle w:val="Rimandocommento"/>
          <w:sz w:val="24"/>
          <w:szCs w:val="24"/>
        </w:rPr>
        <w:commentReference w:id="0"/>
      </w:r>
    </w:p>
    <w:p w14:paraId="7A1D8D96" w14:textId="77777777" w:rsidR="00C11F63" w:rsidRPr="003C1279" w:rsidRDefault="00C11F63" w:rsidP="003C1279">
      <w:pPr>
        <w:pStyle w:val="Standard"/>
        <w:autoSpaceDE w:val="0"/>
        <w:spacing w:line="276" w:lineRule="auto"/>
        <w:ind w:left="-90"/>
        <w:jc w:val="both"/>
        <w:rPr>
          <w:rFonts w:cs="Times New Roman"/>
        </w:rPr>
      </w:pPr>
    </w:p>
    <w:p w14:paraId="5ACDB15F" w14:textId="77777777" w:rsidR="008D1C3B" w:rsidRPr="003C1279" w:rsidRDefault="008D1C3B" w:rsidP="003C1279">
      <w:pPr>
        <w:pStyle w:val="Standard"/>
        <w:autoSpaceDE w:val="0"/>
        <w:spacing w:line="276" w:lineRule="auto"/>
        <w:ind w:left="-90"/>
        <w:jc w:val="both"/>
        <w:rPr>
          <w:rFonts w:cs="Times New Roman"/>
        </w:rPr>
      </w:pPr>
    </w:p>
    <w:p w14:paraId="201A6959" w14:textId="77777777" w:rsidR="00C724D8" w:rsidRPr="003C1279" w:rsidRDefault="00D62801" w:rsidP="003C1279">
      <w:pPr>
        <w:pStyle w:val="Standard"/>
        <w:autoSpaceDE w:val="0"/>
        <w:spacing w:line="276" w:lineRule="auto"/>
        <w:ind w:left="-90"/>
        <w:jc w:val="both"/>
        <w:rPr>
          <w:rFonts w:cs="Times New Roman"/>
          <w:b/>
          <w:bCs/>
        </w:rPr>
      </w:pPr>
      <w:r w:rsidRPr="003C1279">
        <w:rPr>
          <w:rFonts w:cs="Times New Roman"/>
          <w:b/>
          <w:bCs/>
        </w:rPr>
        <w:t xml:space="preserve">Results </w:t>
      </w:r>
    </w:p>
    <w:p w14:paraId="30483B06" w14:textId="77777777" w:rsidR="00D62801" w:rsidRPr="003C1279" w:rsidRDefault="00FD159B" w:rsidP="003C1279">
      <w:pPr>
        <w:pStyle w:val="Standard"/>
        <w:autoSpaceDE w:val="0"/>
        <w:spacing w:line="276" w:lineRule="auto"/>
        <w:ind w:left="-90"/>
        <w:jc w:val="both"/>
        <w:rPr>
          <w:rFonts w:cs="Times New Roman"/>
          <w:i/>
        </w:rPr>
      </w:pPr>
      <w:r w:rsidRPr="003C1279">
        <w:rPr>
          <w:rFonts w:cs="Times New Roman"/>
          <w:bCs/>
          <w:i/>
        </w:rPr>
        <w:t>Studies selection</w:t>
      </w:r>
    </w:p>
    <w:p w14:paraId="5E0D17CA"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The PRISMA flow diagram </w:t>
      </w:r>
      <w:r w:rsidR="00142827" w:rsidRPr="003C1279">
        <w:rPr>
          <w:rFonts w:cs="Times New Roman"/>
        </w:rPr>
        <w:t>reports</w:t>
      </w:r>
      <w:r w:rsidRPr="003C1279">
        <w:rPr>
          <w:rFonts w:cs="Times New Roman"/>
        </w:rPr>
        <w:t xml:space="preserve"> the </w:t>
      </w:r>
      <w:r w:rsidR="00142827" w:rsidRPr="003C1279">
        <w:rPr>
          <w:rFonts w:cs="Times New Roman"/>
        </w:rPr>
        <w:t xml:space="preserve">assessed </w:t>
      </w:r>
      <w:r w:rsidRPr="003C1279">
        <w:rPr>
          <w:rFonts w:cs="Times New Roman"/>
        </w:rPr>
        <w:t>items and the reasons for exclusions (Fig</w:t>
      </w:r>
      <w:r w:rsidR="00D87CD3" w:rsidRPr="003C1279">
        <w:rPr>
          <w:rFonts w:cs="Times New Roman"/>
        </w:rPr>
        <w:t>ure</w:t>
      </w:r>
      <w:r w:rsidR="001711D9" w:rsidRPr="003C1279">
        <w:rPr>
          <w:rFonts w:cs="Times New Roman"/>
        </w:rPr>
        <w:t xml:space="preserve"> 1): from the starting 33</w:t>
      </w:r>
      <w:r w:rsidRPr="003C1279">
        <w:rPr>
          <w:rFonts w:cs="Times New Roman"/>
        </w:rPr>
        <w:t xml:space="preserve"> studies identified through the se</w:t>
      </w:r>
      <w:r w:rsidR="001711D9" w:rsidRPr="003C1279">
        <w:rPr>
          <w:rFonts w:cs="Times New Roman"/>
        </w:rPr>
        <w:t>arch in the databases, only six</w:t>
      </w:r>
      <w:r w:rsidRPr="003C1279">
        <w:rPr>
          <w:rFonts w:cs="Times New Roman"/>
        </w:rPr>
        <w:t xml:space="preserve"> randomized controlled trials reflected the inclusion criteria and were included in the meta-analysis  </w:t>
      </w:r>
      <w:r w:rsidR="001B364B" w:rsidRPr="003C1279">
        <w:rPr>
          <w:rFonts w:cs="Times New Roman"/>
        </w:rPr>
        <w:t>[19-24</w:t>
      </w:r>
      <w:r w:rsidR="008D1C3B" w:rsidRPr="003C1279">
        <w:rPr>
          <w:rFonts w:cs="Times New Roman"/>
        </w:rPr>
        <w:t>]</w:t>
      </w:r>
      <w:r w:rsidRPr="003C1279">
        <w:rPr>
          <w:rFonts w:cs="Times New Roman"/>
        </w:rPr>
        <w:t xml:space="preserve">. </w:t>
      </w:r>
      <w:r w:rsidR="00746362" w:rsidRPr="003C1279">
        <w:rPr>
          <w:rFonts w:cs="Times New Roman"/>
        </w:rPr>
        <w:t>Twenty-two</w:t>
      </w:r>
      <w:r w:rsidRPr="003C1279">
        <w:rPr>
          <w:rFonts w:cs="Times New Roman"/>
        </w:rPr>
        <w:t xml:space="preserve"> studies had been excluded because did not match inclusion criteria. The study of Stevens-Lapsley et al. of 2012 </w:t>
      </w:r>
      <w:r w:rsidR="001B364B" w:rsidRPr="003C1279">
        <w:rPr>
          <w:rFonts w:cs="Times New Roman"/>
        </w:rPr>
        <w:t>[25</w:t>
      </w:r>
      <w:r w:rsidR="008D1C3B" w:rsidRPr="003C1279">
        <w:rPr>
          <w:rFonts w:cs="Times New Roman"/>
        </w:rPr>
        <w:t>]</w:t>
      </w:r>
      <w:r w:rsidRPr="003C1279">
        <w:rPr>
          <w:rFonts w:cs="Times New Roman"/>
        </w:rPr>
        <w:t xml:space="preserve"> was excluded because it was a sub-study of the work done by the same team</w:t>
      </w:r>
      <w:r w:rsidR="008D1C3B" w:rsidRPr="003C1279">
        <w:rPr>
          <w:rFonts w:cs="Times New Roman"/>
        </w:rPr>
        <w:t xml:space="preserve"> [22]</w:t>
      </w:r>
      <w:r w:rsidRPr="003C1279">
        <w:rPr>
          <w:rFonts w:cs="Times New Roman"/>
          <w:color w:val="000000"/>
        </w:rPr>
        <w:t xml:space="preserve">. </w:t>
      </w:r>
      <w:r w:rsidRPr="003C1279">
        <w:rPr>
          <w:rFonts w:cs="Times New Roman"/>
        </w:rPr>
        <w:t>Similarly, the study of Laufer et al. of 2010</w:t>
      </w:r>
      <w:r w:rsidR="001B364B" w:rsidRPr="003C1279">
        <w:rPr>
          <w:rFonts w:cs="Times New Roman"/>
        </w:rPr>
        <w:t xml:space="preserve"> [26</w:t>
      </w:r>
      <w:r w:rsidR="008D1C3B" w:rsidRPr="003C1279">
        <w:rPr>
          <w:rFonts w:cs="Times New Roman"/>
        </w:rPr>
        <w:t>]</w:t>
      </w:r>
      <w:r w:rsidRPr="003C1279">
        <w:rPr>
          <w:rFonts w:cs="Times New Roman"/>
          <w:vertAlign w:val="superscript"/>
        </w:rPr>
        <w:t xml:space="preserve">  </w:t>
      </w:r>
      <w:r w:rsidRPr="003C1279">
        <w:rPr>
          <w:rFonts w:cs="Times New Roman"/>
        </w:rPr>
        <w:t>was excluded as it formed a sub-study of the work done by Petterson et al</w:t>
      </w:r>
      <w:r w:rsidR="008D1C3B" w:rsidRPr="003C1279">
        <w:rPr>
          <w:rFonts w:cs="Times New Roman"/>
        </w:rPr>
        <w:t>. [23]</w:t>
      </w:r>
      <w:r w:rsidRPr="003C1279">
        <w:rPr>
          <w:rFonts w:cs="Times New Roman"/>
        </w:rPr>
        <w:t xml:space="preserve">. </w:t>
      </w:r>
      <w:r w:rsidRPr="003C1279">
        <w:rPr>
          <w:rFonts w:cs="Times New Roman"/>
          <w:shd w:val="clear" w:color="auto" w:fill="FFFFFF"/>
        </w:rPr>
        <w:t xml:space="preserve">Three case reports </w:t>
      </w:r>
      <w:r w:rsidR="001B364B" w:rsidRPr="003C1279">
        <w:rPr>
          <w:rFonts w:cs="Times New Roman"/>
          <w:shd w:val="clear" w:color="auto" w:fill="FFFFFF"/>
        </w:rPr>
        <w:t>[11, 12, 27</w:t>
      </w:r>
      <w:r w:rsidR="008D1C3B" w:rsidRPr="003C1279">
        <w:rPr>
          <w:rFonts w:cs="Times New Roman"/>
          <w:shd w:val="clear" w:color="auto" w:fill="FFFFFF"/>
        </w:rPr>
        <w:t>]</w:t>
      </w:r>
      <w:r w:rsidRPr="003C1279">
        <w:rPr>
          <w:rFonts w:cs="Times New Roman"/>
          <w:shd w:val="clear" w:color="auto" w:fill="FFFFFF"/>
        </w:rPr>
        <w:t>, a case series</w:t>
      </w:r>
      <w:r w:rsidR="001B364B" w:rsidRPr="003C1279">
        <w:rPr>
          <w:rFonts w:cs="Times New Roman"/>
          <w:shd w:val="clear" w:color="auto" w:fill="FFFFFF"/>
        </w:rPr>
        <w:t xml:space="preserve"> [28</w:t>
      </w:r>
      <w:r w:rsidR="008D1C3B" w:rsidRPr="003C1279">
        <w:rPr>
          <w:rFonts w:cs="Times New Roman"/>
          <w:shd w:val="clear" w:color="auto" w:fill="FFFFFF"/>
        </w:rPr>
        <w:t>]</w:t>
      </w:r>
      <w:r w:rsidRPr="003C1279">
        <w:rPr>
          <w:rFonts w:cs="Times New Roman"/>
          <w:shd w:val="clear" w:color="auto" w:fill="FFFFFF"/>
        </w:rPr>
        <w:t xml:space="preserve"> and a clinical trial</w:t>
      </w:r>
      <w:r w:rsidR="001B364B" w:rsidRPr="003C1279">
        <w:rPr>
          <w:rFonts w:cs="Times New Roman"/>
          <w:shd w:val="clear" w:color="auto" w:fill="FFFFFF"/>
        </w:rPr>
        <w:t xml:space="preserve"> [29</w:t>
      </w:r>
      <w:r w:rsidR="008D1C3B" w:rsidRPr="003C1279">
        <w:rPr>
          <w:rFonts w:cs="Times New Roman"/>
          <w:shd w:val="clear" w:color="auto" w:fill="FFFFFF"/>
        </w:rPr>
        <w:t xml:space="preserve">] </w:t>
      </w:r>
      <w:r w:rsidRPr="003C1279">
        <w:rPr>
          <w:rFonts w:cs="Times New Roman"/>
          <w:shd w:val="clear" w:color="auto" w:fill="FFFFFF"/>
          <w:vertAlign w:val="superscript"/>
        </w:rPr>
        <w:t xml:space="preserve"> </w:t>
      </w:r>
      <w:r w:rsidRPr="003C1279">
        <w:rPr>
          <w:rFonts w:cs="Times New Roman"/>
          <w:shd w:val="clear" w:color="auto" w:fill="FFFFFF"/>
        </w:rPr>
        <w:t>have been excluded because evaluated the use of NEMS only before surgery and not after.</w:t>
      </w:r>
    </w:p>
    <w:p w14:paraId="37568C95" w14:textId="77777777" w:rsidR="00C724D8" w:rsidRPr="003C1279" w:rsidRDefault="00FD159B" w:rsidP="003C1279">
      <w:pPr>
        <w:pStyle w:val="Standard"/>
        <w:autoSpaceDE w:val="0"/>
        <w:spacing w:line="276" w:lineRule="auto"/>
        <w:ind w:left="-90"/>
        <w:jc w:val="both"/>
        <w:rPr>
          <w:rFonts w:cs="Times New Roman"/>
          <w:i/>
        </w:rPr>
      </w:pPr>
      <w:r w:rsidRPr="003C1279">
        <w:rPr>
          <w:rFonts w:cs="Times New Roman"/>
          <w:i/>
        </w:rPr>
        <w:t>Characteristics of the studies</w:t>
      </w:r>
    </w:p>
    <w:p w14:paraId="0E5BEEB3"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i/>
          <w:iCs/>
        </w:rPr>
        <w:t>Characteristics of participants</w:t>
      </w:r>
      <w:r w:rsidR="00D62801" w:rsidRPr="003C1279">
        <w:rPr>
          <w:rFonts w:cs="Times New Roman"/>
          <w:i/>
          <w:iCs/>
        </w:rPr>
        <w:t xml:space="preserve">. </w:t>
      </w:r>
      <w:r w:rsidRPr="003C1279">
        <w:rPr>
          <w:rFonts w:cs="Times New Roman"/>
        </w:rPr>
        <w:t>The size of the studies included ranged from 30 to 200 part</w:t>
      </w:r>
      <w:r w:rsidR="001B364B" w:rsidRPr="003C1279">
        <w:rPr>
          <w:rFonts w:cs="Times New Roman"/>
        </w:rPr>
        <w:t>icipants involving a total of 49</w:t>
      </w:r>
      <w:r w:rsidRPr="003C1279">
        <w:rPr>
          <w:rFonts w:cs="Times New Roman"/>
        </w:rPr>
        <w:t xml:space="preserve">6 patients. Approximately half of the patients followed a standard rehabilitation protocol (control-group) and the other part followed a rehabilitation program plus a session of neuromuscular electrical stimulation (NMES-group). </w:t>
      </w:r>
      <w:r w:rsidR="001B364B" w:rsidRPr="003C1279">
        <w:rPr>
          <w:rFonts w:cs="Times New Roman"/>
        </w:rPr>
        <w:t>A number of 25</w:t>
      </w:r>
      <w:r w:rsidRPr="003C1279">
        <w:rPr>
          <w:rFonts w:cs="Times New Roman"/>
        </w:rPr>
        <w:t>0 patients were randomized in NMES-Group, while 2</w:t>
      </w:r>
      <w:r w:rsidR="001B364B" w:rsidRPr="003C1279">
        <w:rPr>
          <w:rFonts w:cs="Times New Roman"/>
        </w:rPr>
        <w:t>4</w:t>
      </w:r>
      <w:r w:rsidRPr="003C1279">
        <w:rPr>
          <w:rFonts w:cs="Times New Roman"/>
        </w:rPr>
        <w:t>6 in the control-group; fol</w:t>
      </w:r>
      <w:r w:rsidR="001B364B" w:rsidRPr="003C1279">
        <w:rPr>
          <w:rFonts w:cs="Times New Roman"/>
        </w:rPr>
        <w:t>low-up periods ranged between 4</w:t>
      </w:r>
      <w:r w:rsidRPr="003C1279">
        <w:rPr>
          <w:rFonts w:cs="Times New Roman"/>
        </w:rPr>
        <w:t xml:space="preserve"> and 52 weeks. </w:t>
      </w:r>
      <w:r w:rsidR="007B582D" w:rsidRPr="003C1279">
        <w:rPr>
          <w:rFonts w:cs="Times New Roman"/>
        </w:rPr>
        <w:t>Overall, the median age was 67.2 years, with 69.9</w:t>
      </w:r>
      <w:r w:rsidRPr="003C1279">
        <w:rPr>
          <w:rFonts w:cs="Times New Roman"/>
        </w:rPr>
        <w:t>%</w:t>
      </w:r>
      <w:r w:rsidR="007B582D" w:rsidRPr="003C1279">
        <w:rPr>
          <w:rFonts w:cs="Times New Roman"/>
        </w:rPr>
        <w:t xml:space="preserve"> of women and a mean BMI of 29.4</w:t>
      </w:r>
      <w:r w:rsidRPr="003C1279">
        <w:rPr>
          <w:rFonts w:cs="Times New Roman"/>
        </w:rPr>
        <w:t xml:space="preserve">. In most of the trials included in the meta-analysis, patient selection was controlled with particular attention to the criteria listed above, including only relatively healthy subjects who had knee replacement surgery for unilateral arthritis of the knee. In these studies, patients who had significant pain in other joints of the lower limbs, other comorbid conditions (uncontrolled diabetes, etc) or cardiovascular diseases </w:t>
      </w:r>
      <w:r w:rsidR="009268F6" w:rsidRPr="003C1279">
        <w:rPr>
          <w:rFonts w:cs="Times New Roman"/>
        </w:rPr>
        <w:t>have been</w:t>
      </w:r>
      <w:r w:rsidRPr="003C1279">
        <w:rPr>
          <w:rFonts w:cs="Times New Roman"/>
        </w:rPr>
        <w:t xml:space="preserve"> excluded. An exception to the criteria mentioned above, was the study of Levine et al. </w:t>
      </w:r>
      <w:r w:rsidR="008D1C3B" w:rsidRPr="003C1279">
        <w:rPr>
          <w:rFonts w:cs="Times New Roman"/>
        </w:rPr>
        <w:t>[21]</w:t>
      </w:r>
      <w:r w:rsidRPr="003C1279">
        <w:rPr>
          <w:rFonts w:cs="Times New Roman"/>
        </w:rPr>
        <w:t xml:space="preserve"> where patients with knee arthritis and bilateral pain were included. In this study, the patients with comorbidities such as epilepsy, lower limb ischemia, or decreased cognitive function were not included. Tab</w:t>
      </w:r>
      <w:r w:rsidR="00D06FF0" w:rsidRPr="003C1279">
        <w:rPr>
          <w:rFonts w:cs="Times New Roman"/>
        </w:rPr>
        <w:t>le</w:t>
      </w:r>
      <w:r w:rsidRPr="003C1279">
        <w:rPr>
          <w:rFonts w:cs="Times New Roman"/>
        </w:rPr>
        <w:t xml:space="preserve"> 2 reports the demographic of the participants and the characteristics of the studies. </w:t>
      </w:r>
    </w:p>
    <w:p w14:paraId="77E0EFD6"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i/>
          <w:iCs/>
        </w:rPr>
        <w:t>Characteristics of the procedures</w:t>
      </w:r>
      <w:r w:rsidR="00D62801" w:rsidRPr="003C1279">
        <w:rPr>
          <w:rFonts w:cs="Times New Roman"/>
          <w:i/>
          <w:iCs/>
        </w:rPr>
        <w:t xml:space="preserve">. </w:t>
      </w:r>
      <w:r w:rsidRPr="003C1279">
        <w:rPr>
          <w:rFonts w:cs="Times New Roman"/>
        </w:rPr>
        <w:t xml:space="preserve">The characteristics of the neuromuscular electrical stimulation among the various studies were similar, although some </w:t>
      </w:r>
      <w:r w:rsidR="008D1C3B" w:rsidRPr="003C1279">
        <w:rPr>
          <w:rFonts w:cs="Times New Roman"/>
        </w:rPr>
        <w:t>variations of parameters were</w:t>
      </w:r>
      <w:r w:rsidRPr="003C1279">
        <w:rPr>
          <w:rFonts w:cs="Times New Roman"/>
        </w:rPr>
        <w:t xml:space="preserve"> present. The frequencies of stimulation in all studies were sufficient to induce a tetanic contraction of the muscle, with </w:t>
      </w:r>
      <w:r w:rsidR="007B582D" w:rsidRPr="003C1279">
        <w:rPr>
          <w:rFonts w:cs="Times New Roman"/>
        </w:rPr>
        <w:t>variations between 40 and 100</w:t>
      </w:r>
      <w:r w:rsidRPr="003C1279">
        <w:rPr>
          <w:rFonts w:cs="Times New Roman"/>
        </w:rPr>
        <w:t xml:space="preserve"> beats per second (Hz). The duration of the impulse applied to the muscle stretches between 250 and 400μs. All studies used the maximum intensity tolerated by the patient. On the contrary, the Duty cycle (ratio between the time when the machine dispenses the impulse and time of rest) showed considerable variations between different studies. </w:t>
      </w:r>
      <w:r w:rsidRPr="003C1279">
        <w:rPr>
          <w:rFonts w:cs="Times New Roman"/>
          <w:color w:val="000000"/>
        </w:rPr>
        <w:t xml:space="preserve">In most studies, both groups </w:t>
      </w:r>
      <w:r w:rsidRPr="003C1279">
        <w:rPr>
          <w:rFonts w:cs="Times New Roman"/>
          <w:color w:val="000000"/>
        </w:rPr>
        <w:lastRenderedPageBreak/>
        <w:t>(control-group and NMES-group) followed a rehabilitation protocol that included strength exercises, flexibility and functional type workouts. The NMES-Groups performed in addition neuromuscular electrical stimulati</w:t>
      </w:r>
      <w:r w:rsidR="00D06FF0" w:rsidRPr="003C1279">
        <w:rPr>
          <w:rFonts w:cs="Times New Roman"/>
          <w:color w:val="000000"/>
        </w:rPr>
        <w:t>on sessions as shown in the Table</w:t>
      </w:r>
      <w:r w:rsidRPr="003C1279">
        <w:rPr>
          <w:rFonts w:cs="Times New Roman"/>
          <w:color w:val="000000"/>
        </w:rPr>
        <w:t xml:space="preserve"> 3.   </w:t>
      </w:r>
    </w:p>
    <w:p w14:paraId="0B5DE865" w14:textId="77777777" w:rsidR="00C724D8" w:rsidRPr="003C1279" w:rsidRDefault="00FD159B" w:rsidP="003C1279">
      <w:pPr>
        <w:pStyle w:val="Standard"/>
        <w:autoSpaceDE w:val="0"/>
        <w:spacing w:line="276" w:lineRule="auto"/>
        <w:ind w:left="-90"/>
        <w:jc w:val="both"/>
        <w:rPr>
          <w:rFonts w:cs="Times New Roman"/>
          <w:bCs/>
          <w:i/>
        </w:rPr>
      </w:pPr>
      <w:r w:rsidRPr="003C1279">
        <w:rPr>
          <w:rFonts w:cs="Times New Roman"/>
          <w:bCs/>
          <w:i/>
        </w:rPr>
        <w:t>Description of bias</w:t>
      </w:r>
    </w:p>
    <w:p w14:paraId="2CA923B7" w14:textId="77777777" w:rsidR="00C724D8" w:rsidRPr="003C1279" w:rsidRDefault="00D06FF0" w:rsidP="003C1279">
      <w:pPr>
        <w:pStyle w:val="Standard"/>
        <w:autoSpaceDE w:val="0"/>
        <w:spacing w:line="276" w:lineRule="auto"/>
        <w:ind w:left="-90"/>
        <w:jc w:val="both"/>
        <w:rPr>
          <w:rFonts w:cs="Times New Roman"/>
        </w:rPr>
      </w:pPr>
      <w:r w:rsidRPr="003C1279">
        <w:rPr>
          <w:rFonts w:cs="Times New Roman"/>
        </w:rPr>
        <w:t>Table</w:t>
      </w:r>
      <w:r w:rsidR="00FD159B" w:rsidRPr="003C1279">
        <w:rPr>
          <w:rFonts w:cs="Times New Roman"/>
        </w:rPr>
        <w:t xml:space="preserve"> 4 summarizes the quality and the risk of bias of all individual randomized controlled trials included in the meta-analysis. The overall quality of the included studies was acceptable, in particular if considering that all studies were randomized, that the quality of the data was good and complete, that this was not a drug therapies study and that is this kind of studies where blindness can be complicated.  The study of Petterson et al.</w:t>
      </w:r>
      <w:r w:rsidR="008D1C3B" w:rsidRPr="003C1279">
        <w:rPr>
          <w:rFonts w:cs="Times New Roman"/>
        </w:rPr>
        <w:t xml:space="preserve">  [23]</w:t>
      </w:r>
      <w:r w:rsidR="00FD159B" w:rsidRPr="003C1279">
        <w:rPr>
          <w:rFonts w:cs="Times New Roman"/>
        </w:rPr>
        <w:t xml:space="preserve"> </w:t>
      </w:r>
      <w:r w:rsidR="009268F6" w:rsidRPr="003C1279">
        <w:rPr>
          <w:rFonts w:cs="Times New Roman"/>
        </w:rPr>
        <w:t>had</w:t>
      </w:r>
      <w:r w:rsidR="00FD159B" w:rsidRPr="003C1279">
        <w:rPr>
          <w:rFonts w:cs="Times New Roman"/>
        </w:rPr>
        <w:t xml:space="preserve"> the lowest risk of bias: it was single blind study, which responded positively to all the questions examined, with the exception of concealment of allocation which was not mentioned. On the contrary, the study that proved a major risk of bias was that of Stevens-Lapsley et al. </w:t>
      </w:r>
      <w:r w:rsidR="008D1C3B" w:rsidRPr="003C1279">
        <w:rPr>
          <w:rFonts w:cs="Times New Roman"/>
        </w:rPr>
        <w:t>[22]</w:t>
      </w:r>
      <w:r w:rsidR="00FD159B" w:rsidRPr="003C1279">
        <w:rPr>
          <w:rFonts w:cs="Times New Roman"/>
        </w:rPr>
        <w:t>: in this study, the evaluators were aware of the type of treatment received by participants and, in plus, this was the only study that received economic support.</w:t>
      </w:r>
    </w:p>
    <w:p w14:paraId="6FCBDFB8" w14:textId="77777777" w:rsidR="00C11F63" w:rsidRPr="003C1279" w:rsidRDefault="00C11F63" w:rsidP="003C1279">
      <w:pPr>
        <w:pStyle w:val="Standard"/>
        <w:autoSpaceDE w:val="0"/>
        <w:spacing w:line="276" w:lineRule="auto"/>
        <w:ind w:left="-90"/>
        <w:jc w:val="both"/>
        <w:rPr>
          <w:rFonts w:cs="Times New Roman"/>
        </w:rPr>
      </w:pPr>
      <w:r w:rsidRPr="003C1279">
        <w:rPr>
          <w:rFonts w:cs="Times New Roman"/>
        </w:rPr>
        <w:t>In the meta-analysis, publication bias was not assessed as there were inadequate numbers of included trials to properly assess a funnel plot or more advanced regression-based assessments.</w:t>
      </w:r>
    </w:p>
    <w:p w14:paraId="7B52978B" w14:textId="77777777" w:rsidR="00C11F63" w:rsidRPr="003C1279" w:rsidRDefault="00C11F63" w:rsidP="003C1279">
      <w:pPr>
        <w:pStyle w:val="Standard"/>
        <w:autoSpaceDE w:val="0"/>
        <w:spacing w:line="276" w:lineRule="auto"/>
        <w:ind w:left="-90"/>
        <w:jc w:val="both"/>
        <w:rPr>
          <w:rFonts w:cs="Times New Roman"/>
        </w:rPr>
      </w:pPr>
    </w:p>
    <w:p w14:paraId="2A8C9985" w14:textId="77777777" w:rsidR="00C724D8" w:rsidRPr="003C1279" w:rsidRDefault="00FD159B" w:rsidP="003C1279">
      <w:pPr>
        <w:pStyle w:val="Standard"/>
        <w:autoSpaceDE w:val="0"/>
        <w:spacing w:line="276" w:lineRule="auto"/>
        <w:ind w:left="-90"/>
        <w:jc w:val="both"/>
        <w:rPr>
          <w:rFonts w:cs="Times New Roman"/>
          <w:bCs/>
          <w:i/>
        </w:rPr>
      </w:pPr>
      <w:r w:rsidRPr="003C1279">
        <w:rPr>
          <w:rFonts w:cs="Times New Roman"/>
          <w:bCs/>
          <w:i/>
        </w:rPr>
        <w:t>Outcome</w:t>
      </w:r>
      <w:r w:rsidR="00D855B1" w:rsidRPr="003C1279">
        <w:rPr>
          <w:rFonts w:cs="Times New Roman"/>
          <w:bCs/>
          <w:i/>
        </w:rPr>
        <w:t>s</w:t>
      </w:r>
    </w:p>
    <w:p w14:paraId="6EEA5E0D"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The absence of a defined protocol, involved that, among the various studies, many different outcomes were used to evaluate the efficacy of NMES. Tab</w:t>
      </w:r>
      <w:r w:rsidR="00D87CD3" w:rsidRPr="003C1279">
        <w:rPr>
          <w:rFonts w:cs="Times New Roman"/>
        </w:rPr>
        <w:t>le</w:t>
      </w:r>
      <w:r w:rsidRPr="003C1279">
        <w:rPr>
          <w:rFonts w:cs="Times New Roman"/>
        </w:rPr>
        <w:t xml:space="preserve"> 5 reports all the outcomes described in the studies, divided into two groups. The first group of outcomes evaluated the physical performance of patients during the rehabilitation phase: aim of these outcomes was to describe appropriately the physical adaptation of the patients to the prosthesis and how this affects the everyday performances like walking, getting up, sitting, climbing stairs. The second group included outcomes whose primary purpose was to provide an estimate of the overall functionality of the knee. These are well-known questionnaires about social and emotional functions, pain and disability, and how these </w:t>
      </w:r>
      <w:r w:rsidR="00D06FF0" w:rsidRPr="003C1279">
        <w:rPr>
          <w:rFonts w:cs="Times New Roman"/>
        </w:rPr>
        <w:t>affect the subject's life (Table</w:t>
      </w:r>
      <w:r w:rsidRPr="003C1279">
        <w:rPr>
          <w:rFonts w:cs="Times New Roman"/>
        </w:rPr>
        <w:t xml:space="preserve"> 5).</w:t>
      </w:r>
    </w:p>
    <w:p w14:paraId="302717A7" w14:textId="77777777" w:rsidR="00C724D8" w:rsidRPr="003C1279" w:rsidRDefault="00FD159B" w:rsidP="003C1279">
      <w:pPr>
        <w:pStyle w:val="Standard"/>
        <w:autoSpaceDE w:val="0"/>
        <w:spacing w:line="276" w:lineRule="auto"/>
        <w:ind w:left="-90"/>
        <w:jc w:val="both"/>
        <w:rPr>
          <w:rFonts w:cs="Times New Roman"/>
          <w:bCs/>
          <w:i/>
        </w:rPr>
      </w:pPr>
      <w:r w:rsidRPr="003C1279">
        <w:rPr>
          <w:rFonts w:cs="Times New Roman"/>
          <w:bCs/>
          <w:i/>
        </w:rPr>
        <w:t>Analysis of the results</w:t>
      </w:r>
    </w:p>
    <w:p w14:paraId="66C3301E"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In the first study of Avramidis et al. </w:t>
      </w:r>
      <w:r w:rsidR="008D1C3B" w:rsidRPr="003C1279">
        <w:rPr>
          <w:rFonts w:cs="Times New Roman"/>
        </w:rPr>
        <w:t>[19]</w:t>
      </w:r>
      <w:r w:rsidRPr="003C1279">
        <w:rPr>
          <w:rFonts w:cs="Times New Roman"/>
        </w:rPr>
        <w:t xml:space="preserve"> the participants, randomized in two groups (NMES and control), were assessed prior surgery and at 6 and 12 weeks after surgery. The NMES-Group presented a longest distances covered in the 3 minutes walking test (3MWT) than the control group with a statistically significant difference, both at 6 (p = 0.0002) and at 12 weeks (p &lt; 0.0001). On the contrary, the differences measured between the two groups regarding the Physiological Cost Index (PCI) and Hospital for Special Surgery Knee Score (HSS) were not statistically significant (p &gt; 0.2).</w:t>
      </w:r>
    </w:p>
    <w:p w14:paraId="6919CF8E" w14:textId="77777777" w:rsidR="00C724D8" w:rsidRPr="003C1279" w:rsidRDefault="00C724D8" w:rsidP="003C1279">
      <w:pPr>
        <w:pStyle w:val="Standard"/>
        <w:autoSpaceDE w:val="0"/>
        <w:spacing w:line="276" w:lineRule="auto"/>
        <w:ind w:left="-90" w:firstLine="170"/>
        <w:jc w:val="both"/>
        <w:rPr>
          <w:rFonts w:cs="Times New Roman"/>
        </w:rPr>
      </w:pPr>
    </w:p>
    <w:p w14:paraId="1E3C6091"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Petterson et al.</w:t>
      </w:r>
      <w:r w:rsidR="008D1C3B" w:rsidRPr="003C1279">
        <w:rPr>
          <w:rFonts w:cs="Times New Roman"/>
        </w:rPr>
        <w:t xml:space="preserve"> [23]</w:t>
      </w:r>
      <w:r w:rsidRPr="003C1279">
        <w:rPr>
          <w:rFonts w:cs="Times New Roman"/>
        </w:rPr>
        <w:t xml:space="preserve"> evaluated the participants pre-operatively and then at 3 and 12 months after surgery and did not show significant differences (p &gt; 0.08) for all examined outcomes between the two types of interventions (physical exercises or physical exercises associated with NMES). </w:t>
      </w:r>
      <w:r w:rsidRPr="003C1279">
        <w:rPr>
          <w:rFonts w:cs="Times New Roman"/>
          <w:lang w:eastAsia="it-IT" w:bidi="ar-SA"/>
        </w:rPr>
        <w:t xml:space="preserve">These two groups of participants, however, showed better results than a third control group of 41 patients who followed a standard rehabilitation protocol ("standard of care"): the outcomes assessed at 12 months after the intervention showed a statistically </w:t>
      </w:r>
      <w:r w:rsidRPr="003C1279">
        <w:rPr>
          <w:rFonts w:cs="Times New Roman"/>
          <w:lang w:eastAsia="it-IT" w:bidi="ar-SA"/>
        </w:rPr>
        <w:lastRenderedPageBreak/>
        <w:t>significant difference (all p-value less than 0.01).</w:t>
      </w:r>
    </w:p>
    <w:p w14:paraId="0D515652" w14:textId="77777777" w:rsidR="00C724D8" w:rsidRPr="003C1279" w:rsidRDefault="00C724D8" w:rsidP="003C1279">
      <w:pPr>
        <w:pStyle w:val="Standard"/>
        <w:autoSpaceDE w:val="0"/>
        <w:spacing w:line="276" w:lineRule="auto"/>
        <w:ind w:left="-90"/>
        <w:jc w:val="both"/>
        <w:rPr>
          <w:rFonts w:cs="Times New Roman"/>
        </w:rPr>
      </w:pPr>
    </w:p>
    <w:p w14:paraId="046951BF"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lang w:eastAsia="it-IT" w:bidi="ar-SA"/>
        </w:rPr>
        <w:t xml:space="preserve">Stevens-Lapsley et al. </w:t>
      </w:r>
      <w:r w:rsidR="008D1C3B" w:rsidRPr="003C1279">
        <w:rPr>
          <w:rFonts w:cs="Times New Roman"/>
          <w:lang w:eastAsia="it-IT" w:bidi="ar-SA"/>
        </w:rPr>
        <w:t xml:space="preserve">[22] </w:t>
      </w:r>
      <w:r w:rsidRPr="003C1279">
        <w:rPr>
          <w:rFonts w:cs="Times New Roman"/>
          <w:lang w:eastAsia="it-IT" w:bidi="ar-SA"/>
        </w:rPr>
        <w:t xml:space="preserve"> showed a statistically significant improvement (p &lt; 0.05) after 3.5 weeks in favor of the NMES-Group regarding the following outcomes: strength of the hamstrings and of the quadriceps femoris, functional performance 6 minutes walking test (6MWT), Stair Climbing Test (SCT), Test Up and Go (TUG) and range of movement (ROM) for active extension. These differences were still present, although reduced after 52 weeks.</w:t>
      </w:r>
    </w:p>
    <w:p w14:paraId="5771CA93" w14:textId="77777777" w:rsidR="00C724D8" w:rsidRPr="003C1279" w:rsidRDefault="00C724D8" w:rsidP="003C1279">
      <w:pPr>
        <w:pStyle w:val="Standard"/>
        <w:autoSpaceDE w:val="0"/>
        <w:spacing w:line="276" w:lineRule="auto"/>
        <w:ind w:left="-90"/>
        <w:jc w:val="both"/>
        <w:rPr>
          <w:rFonts w:cs="Times New Roman"/>
          <w:lang w:eastAsia="it-IT" w:bidi="ar-SA"/>
        </w:rPr>
      </w:pPr>
    </w:p>
    <w:p w14:paraId="43756077"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lang w:eastAsia="it-IT" w:bidi="ar-SA"/>
        </w:rPr>
        <w:t>In the study of Avramidis et al.</w:t>
      </w:r>
      <w:r w:rsidR="008D1C3B" w:rsidRPr="003C1279">
        <w:rPr>
          <w:rFonts w:cs="Times New Roman"/>
          <w:lang w:eastAsia="it-IT" w:bidi="ar-SA"/>
        </w:rPr>
        <w:t xml:space="preserve">  [20]</w:t>
      </w:r>
      <w:r w:rsidRPr="003C1279">
        <w:rPr>
          <w:rFonts w:cs="Times New Roman"/>
          <w:lang w:eastAsia="it-IT" w:bidi="ar-SA"/>
        </w:rPr>
        <w:t xml:space="preserve"> the Knee Society Score (KSS) showed statistically significant differences in the functional and total score at 6 and 12 weeks after surgery. The other used outcomes (Oxford 12-item Knee Score and 3MWT) also emphasized that the two groups had statistically significant differences (with better results for the NMES-group) in the early postoperative period, which gradually declined over time.</w:t>
      </w:r>
    </w:p>
    <w:p w14:paraId="090280C3" w14:textId="77777777" w:rsidR="00C724D8" w:rsidRPr="003C1279" w:rsidRDefault="00C724D8" w:rsidP="003C1279">
      <w:pPr>
        <w:pStyle w:val="Standard"/>
        <w:autoSpaceDE w:val="0"/>
        <w:spacing w:line="276" w:lineRule="auto"/>
        <w:ind w:left="-90"/>
        <w:jc w:val="both"/>
        <w:rPr>
          <w:rFonts w:cs="Times New Roman"/>
          <w:lang w:eastAsia="it-IT" w:bidi="ar-SA"/>
        </w:rPr>
      </w:pPr>
    </w:p>
    <w:p w14:paraId="40126FEA"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Levine et al. 2013 </w:t>
      </w:r>
      <w:r w:rsidR="008D1C3B" w:rsidRPr="003C1279">
        <w:rPr>
          <w:rFonts w:cs="Times New Roman"/>
        </w:rPr>
        <w:t>[21]</w:t>
      </w:r>
      <w:r w:rsidRPr="003C1279">
        <w:rPr>
          <w:rFonts w:cs="Times New Roman"/>
        </w:rPr>
        <w:t>, compared the two groups using six different outcomes: degree of extension, the degree of flexion, KSS (functional and related to pain), Western Ontario and McMaster Universities Arthritis Index (WOMAC) and TUG. The parameters were examined before surgery, at 6 weeks and then at 6 months. The study showed that the NMES-Group was not less than the control group for any considered outcomes, at both intervals.</w:t>
      </w:r>
    </w:p>
    <w:p w14:paraId="1E5C2AE4" w14:textId="77777777" w:rsidR="006A2241" w:rsidRPr="003C1279" w:rsidRDefault="006A2241" w:rsidP="003C1279">
      <w:pPr>
        <w:pStyle w:val="Standard"/>
        <w:autoSpaceDE w:val="0"/>
        <w:spacing w:line="276" w:lineRule="auto"/>
        <w:ind w:left="-90"/>
        <w:jc w:val="both"/>
        <w:rPr>
          <w:rFonts w:cs="Times New Roman"/>
        </w:rPr>
      </w:pPr>
    </w:p>
    <w:p w14:paraId="50E64039" w14:textId="77777777" w:rsidR="006A2241" w:rsidRPr="003C1279" w:rsidRDefault="00F93EE8" w:rsidP="003C1279">
      <w:pPr>
        <w:pStyle w:val="Standard"/>
        <w:spacing w:line="276" w:lineRule="auto"/>
        <w:ind w:left="-90"/>
        <w:jc w:val="both"/>
        <w:rPr>
          <w:rFonts w:cs="Times New Roman"/>
        </w:rPr>
      </w:pPr>
      <w:r w:rsidRPr="003C1279">
        <w:rPr>
          <w:rFonts w:cs="Times New Roman"/>
        </w:rPr>
        <w:t xml:space="preserve">In the study of </w:t>
      </w:r>
      <w:r w:rsidR="006A2241" w:rsidRPr="003C1279">
        <w:rPr>
          <w:rFonts w:cs="Times New Roman"/>
        </w:rPr>
        <w:t>Demircioglu et al.</w:t>
      </w:r>
      <w:r w:rsidRPr="003C1279">
        <w:rPr>
          <w:rFonts w:cs="Times New Roman"/>
        </w:rPr>
        <w:t xml:space="preserve"> 2015 [24], VAS scores in both the first and third months after TKA were found to be significantly better in the NMES group than in the control group (p=0.0), although knee flexion and extension ranges were significantly better only at the first-month follow-up visit (p= 0.05).  The comparisons of WOMAC results at month 1 revealed that pain, stiffnes</w:t>
      </w:r>
      <w:r w:rsidR="009268F6" w:rsidRPr="003C1279">
        <w:rPr>
          <w:rFonts w:cs="Times New Roman"/>
        </w:rPr>
        <w:t>s, and total scores of the NMES-</w:t>
      </w:r>
      <w:r w:rsidRPr="003C1279">
        <w:rPr>
          <w:rFonts w:cs="Times New Roman"/>
        </w:rPr>
        <w:t>group was significant</w:t>
      </w:r>
      <w:r w:rsidR="009268F6" w:rsidRPr="003C1279">
        <w:rPr>
          <w:rFonts w:cs="Times New Roman"/>
        </w:rPr>
        <w:t>ly better than those of control-</w:t>
      </w:r>
      <w:r w:rsidRPr="003C1279">
        <w:rPr>
          <w:rFonts w:cs="Times New Roman"/>
        </w:rPr>
        <w:t xml:space="preserve">group and significantly better physical function and SF-36 subscales, except mental </w:t>
      </w:r>
      <w:r w:rsidR="009268F6" w:rsidRPr="003C1279">
        <w:rPr>
          <w:rFonts w:cs="Times New Roman"/>
        </w:rPr>
        <w:t>health, were found for the NMES-</w:t>
      </w:r>
      <w:r w:rsidRPr="003C1279">
        <w:rPr>
          <w:rFonts w:cs="Times New Roman"/>
        </w:rPr>
        <w:t xml:space="preserve">group at the first month of follow-up. </w:t>
      </w:r>
    </w:p>
    <w:p w14:paraId="2C3AAAEB" w14:textId="77777777" w:rsidR="00C724D8" w:rsidRPr="003C1279" w:rsidRDefault="00C724D8" w:rsidP="003C1279">
      <w:pPr>
        <w:pStyle w:val="Standard"/>
        <w:autoSpaceDE w:val="0"/>
        <w:spacing w:line="276" w:lineRule="auto"/>
        <w:ind w:left="-90" w:firstLine="170"/>
        <w:jc w:val="both"/>
        <w:rPr>
          <w:rFonts w:cs="Times New Roman"/>
        </w:rPr>
      </w:pPr>
    </w:p>
    <w:p w14:paraId="61BBB589" w14:textId="77777777" w:rsidR="008D1C3B" w:rsidRPr="003C1279" w:rsidRDefault="00FD159B" w:rsidP="003C1279">
      <w:pPr>
        <w:pStyle w:val="Standard"/>
        <w:autoSpaceDE w:val="0"/>
        <w:spacing w:line="276" w:lineRule="auto"/>
        <w:ind w:left="-90"/>
        <w:jc w:val="both"/>
        <w:rPr>
          <w:rFonts w:cs="Times New Roman"/>
        </w:rPr>
      </w:pPr>
      <w:r w:rsidRPr="003C1279">
        <w:rPr>
          <w:rFonts w:cs="Times New Roman"/>
        </w:rPr>
        <w:t>In general, according to all studies, the neuromuscular electrical stimulation is a very simple physical therapy and allows a better functional recovery after total knee replacement surgery, at least in the first months.</w:t>
      </w:r>
    </w:p>
    <w:p w14:paraId="79304380" w14:textId="77777777" w:rsidR="008D1C3B" w:rsidRPr="003C1279" w:rsidRDefault="008D1C3B" w:rsidP="003C1279">
      <w:pPr>
        <w:pStyle w:val="Standard"/>
        <w:autoSpaceDE w:val="0"/>
        <w:spacing w:line="276" w:lineRule="auto"/>
        <w:ind w:left="-90"/>
        <w:jc w:val="both"/>
        <w:rPr>
          <w:rFonts w:cs="Times New Roman"/>
        </w:rPr>
      </w:pPr>
    </w:p>
    <w:p w14:paraId="4B9A7392" w14:textId="77777777" w:rsidR="00C724D8" w:rsidRPr="003C1279" w:rsidRDefault="00D62801" w:rsidP="003C1279">
      <w:pPr>
        <w:pStyle w:val="Standard"/>
        <w:autoSpaceDE w:val="0"/>
        <w:spacing w:line="276" w:lineRule="auto"/>
        <w:ind w:left="-90"/>
        <w:jc w:val="both"/>
        <w:rPr>
          <w:rFonts w:cs="Times New Roman"/>
          <w:b/>
          <w:bCs/>
        </w:rPr>
      </w:pPr>
      <w:r w:rsidRPr="003C1279">
        <w:rPr>
          <w:rFonts w:cs="Times New Roman"/>
          <w:b/>
          <w:bCs/>
        </w:rPr>
        <w:t xml:space="preserve">Discussion </w:t>
      </w:r>
    </w:p>
    <w:p w14:paraId="7F507B6E"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bCs/>
        </w:rPr>
        <w:t xml:space="preserve">The origin of the weakness of the quadriceps muscle after TKA is multifactorial: the trauma of the surgery, factors associated with the pre-existing knee arthritis, general factors such as obesity, morbidities and age can all be cause of weakness. </w:t>
      </w:r>
      <w:r w:rsidRPr="003C1279">
        <w:rPr>
          <w:rFonts w:cs="Times New Roman"/>
        </w:rPr>
        <w:t xml:space="preserve">The </w:t>
      </w:r>
      <w:r w:rsidR="008D1C3B" w:rsidRPr="003C1279">
        <w:rPr>
          <w:rFonts w:cs="Times New Roman"/>
        </w:rPr>
        <w:t>mechanism that underlies</w:t>
      </w:r>
      <w:r w:rsidRPr="003C1279">
        <w:rPr>
          <w:rFonts w:cs="Times New Roman"/>
        </w:rPr>
        <w:t xml:space="preserve"> the weakness can be of muscular nature (eg. atrophy, decrease in the number and size of muscle fibers) or related to neuronal reasons (eg. reduced voluntary muscle activation). The contribution of the neuronal type seems to be prevalent respect to the muscular one, especially in the first postoperative weeks after total knee replacement; on the contrary, after approximately 4-5 months the muscular component takes over</w:t>
      </w:r>
      <w:r w:rsidR="008D1C3B" w:rsidRPr="003C1279">
        <w:rPr>
          <w:rFonts w:cs="Times New Roman"/>
        </w:rPr>
        <w:t xml:space="preserve">  [10]</w:t>
      </w:r>
      <w:r w:rsidRPr="003C1279">
        <w:rPr>
          <w:rFonts w:cs="Times New Roman"/>
        </w:rPr>
        <w:t xml:space="preserve">. Since weakness can be a severe impairment for the recover after TKA, NMES has been proposed in addition to standard rehabilitation programs.  </w:t>
      </w:r>
    </w:p>
    <w:p w14:paraId="4D9C3188" w14:textId="77777777" w:rsidR="00C724D8" w:rsidRPr="003C1279" w:rsidRDefault="00C724D8" w:rsidP="003C1279">
      <w:pPr>
        <w:pStyle w:val="Standard"/>
        <w:autoSpaceDE w:val="0"/>
        <w:spacing w:line="276" w:lineRule="auto"/>
        <w:ind w:left="-90" w:firstLine="170"/>
        <w:jc w:val="both"/>
        <w:rPr>
          <w:rFonts w:cs="Times New Roman"/>
        </w:rPr>
      </w:pPr>
    </w:p>
    <w:p w14:paraId="7C2510EF"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This meta-analysis included </w:t>
      </w:r>
      <w:r w:rsidR="00121BCA" w:rsidRPr="003C1279">
        <w:rPr>
          <w:rFonts w:cs="Times New Roman"/>
        </w:rPr>
        <w:t>six</w:t>
      </w:r>
      <w:r w:rsidRPr="003C1279">
        <w:rPr>
          <w:rFonts w:cs="Times New Roman"/>
        </w:rPr>
        <w:t xml:space="preserve"> randomized controlled tr</w:t>
      </w:r>
      <w:r w:rsidR="00121BCA" w:rsidRPr="003C1279">
        <w:rPr>
          <w:rFonts w:cs="Times New Roman"/>
        </w:rPr>
        <w:t>ials performed from 2003 to 2015</w:t>
      </w:r>
      <w:r w:rsidRPr="003C1279">
        <w:rPr>
          <w:rFonts w:cs="Times New Roman"/>
        </w:rPr>
        <w:t>, whi</w:t>
      </w:r>
      <w:r w:rsidR="00121BCA" w:rsidRPr="003C1279">
        <w:rPr>
          <w:rFonts w:cs="Times New Roman"/>
        </w:rPr>
        <w:t>ch together collected data on 49</w:t>
      </w:r>
      <w:r w:rsidRPr="003C1279">
        <w:rPr>
          <w:rFonts w:cs="Times New Roman"/>
        </w:rPr>
        <w:t xml:space="preserve">6 patients undergoing total knee arthroplasty. All studies evidenced a deficit of strength and functionality in the first period after surgery, compared with data collected prior to the surgery: this was an effect of surgery itself. These deficits receded during the follow-up, also in response to the rehabilitative treatment and after only 6 months the results were already better than before surgery. All patients had </w:t>
      </w:r>
      <w:r w:rsidR="008D1C3B" w:rsidRPr="003C1279">
        <w:rPr>
          <w:rFonts w:cs="Times New Roman"/>
        </w:rPr>
        <w:t>excellent functional</w:t>
      </w:r>
      <w:r w:rsidRPr="003C1279">
        <w:rPr>
          <w:rFonts w:cs="Times New Roman"/>
        </w:rPr>
        <w:t xml:space="preserve"> outcomes and physical performances, thus confirming the good results achieved at present with total knee arthroplasty and the subsequent rehabilitation.</w:t>
      </w:r>
    </w:p>
    <w:p w14:paraId="35079B8F" w14:textId="77777777" w:rsidR="00C724D8" w:rsidRPr="003C1279" w:rsidRDefault="00C724D8" w:rsidP="003C1279">
      <w:pPr>
        <w:pStyle w:val="Standard"/>
        <w:autoSpaceDE w:val="0"/>
        <w:spacing w:line="276" w:lineRule="auto"/>
        <w:ind w:left="-90"/>
        <w:jc w:val="both"/>
        <w:rPr>
          <w:rFonts w:cs="Times New Roman"/>
        </w:rPr>
      </w:pPr>
    </w:p>
    <w:p w14:paraId="7FE784CD" w14:textId="77777777" w:rsidR="00C724D8" w:rsidRPr="003C1279" w:rsidRDefault="00C724D8" w:rsidP="003C1279">
      <w:pPr>
        <w:pStyle w:val="Standard"/>
        <w:autoSpaceDE w:val="0"/>
        <w:spacing w:line="276" w:lineRule="auto"/>
        <w:ind w:left="-90" w:firstLine="170"/>
        <w:jc w:val="both"/>
        <w:rPr>
          <w:rFonts w:cs="Times New Roman"/>
        </w:rPr>
      </w:pPr>
    </w:p>
    <w:p w14:paraId="6FDEB417"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Data analysis showed no inferiority of the rehabilitative treatment with neuromuscular electrical stimulation compared with physical therapy alone. Must be underlined the absence of a standardized common rehabilitative protocol in the five studies analyzed, that prevented a uniformity of outcomes. In relation to this issue of heterogeneity, outcomes were then divided into two categories: those based on tests that evaluated physical performance and those that evaluated the functionality of the prosthetic knee and the quality of life. This approach allowed to gather and analyze the homogeneous data properly and to extract the data that best reflected the real situation. On the other side, persons who during the rehabilitation period benefited from the neuromuscular electrical stimulation in addition to normal physical therapy, got higher scores compared with those who received physical therapy alone (in particular the tests that best expressed  this difference were the TUG, SCT and 6MWT).</w:t>
      </w:r>
    </w:p>
    <w:p w14:paraId="4DAFCDDE" w14:textId="77777777" w:rsidR="00C724D8" w:rsidRPr="003C1279" w:rsidRDefault="00C724D8" w:rsidP="003C1279">
      <w:pPr>
        <w:pStyle w:val="Standard"/>
        <w:autoSpaceDE w:val="0"/>
        <w:spacing w:line="276" w:lineRule="auto"/>
        <w:ind w:left="-90"/>
        <w:jc w:val="both"/>
        <w:rPr>
          <w:rFonts w:cs="Times New Roman"/>
        </w:rPr>
      </w:pPr>
    </w:p>
    <w:p w14:paraId="6C798CB2"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One of the findings of this meta-analysis was that the differences highlighted by one or several outcomes, were strong in the first few weeks/months after surgery and then gradually waned with passing of the time. This situation was related to the fact that in the early postoperative period there is an important deficit of muscle activation of neuronal type (or Central). For this reason, the use of a treatment that allows muscle activation device, such as NMES, was essential to prevent muscle atrophy and dysfunction.</w:t>
      </w:r>
    </w:p>
    <w:p w14:paraId="0E177AB5" w14:textId="77777777" w:rsidR="00C724D8" w:rsidRPr="003C1279" w:rsidRDefault="00C724D8" w:rsidP="003C1279">
      <w:pPr>
        <w:pStyle w:val="Standard"/>
        <w:autoSpaceDE w:val="0"/>
        <w:spacing w:line="276" w:lineRule="auto"/>
        <w:ind w:left="-90" w:firstLine="170"/>
        <w:jc w:val="both"/>
        <w:rPr>
          <w:rFonts w:cs="Times New Roman"/>
        </w:rPr>
      </w:pPr>
    </w:p>
    <w:p w14:paraId="35CB36EA"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Another evidence of the study concerns the optimal time for initiation of NMES. Petterson et al.</w:t>
      </w:r>
      <w:r w:rsidR="008D1C3B" w:rsidRPr="003C1279">
        <w:rPr>
          <w:rFonts w:cs="Times New Roman"/>
        </w:rPr>
        <w:t xml:space="preserve">  [23]</w:t>
      </w:r>
      <w:r w:rsidRPr="003C1279">
        <w:rPr>
          <w:rFonts w:cs="Times New Roman"/>
        </w:rPr>
        <w:t xml:space="preserve"> did not show any statistically significant difference between the NMES-group and the control-group, but this probably that was consequence of the fact that patients have begun treatment 4 weeks after surgery, while in the other </w:t>
      </w:r>
      <w:r w:rsidR="00121BCA" w:rsidRPr="003C1279">
        <w:rPr>
          <w:rFonts w:cs="Times New Roman"/>
        </w:rPr>
        <w:t>five</w:t>
      </w:r>
      <w:r w:rsidRPr="003C1279">
        <w:rPr>
          <w:rFonts w:cs="Times New Roman"/>
        </w:rPr>
        <w:t xml:space="preserve"> s</w:t>
      </w:r>
      <w:r w:rsidR="00212549" w:rsidRPr="003C1279">
        <w:rPr>
          <w:rFonts w:cs="Times New Roman"/>
        </w:rPr>
        <w:t>tudies the NMES started after 24-48</w:t>
      </w:r>
      <w:r w:rsidRPr="003C1279">
        <w:rPr>
          <w:rFonts w:cs="Times New Roman"/>
        </w:rPr>
        <w:t xml:space="preserve"> hours. Adding treatments with NMES to conventional </w:t>
      </w:r>
      <w:r w:rsidR="008D1C3B" w:rsidRPr="003C1279">
        <w:rPr>
          <w:rFonts w:cs="Times New Roman"/>
        </w:rPr>
        <w:t>rehabilitation</w:t>
      </w:r>
      <w:r w:rsidRPr="003C1279">
        <w:rPr>
          <w:rFonts w:cs="Times New Roman"/>
        </w:rPr>
        <w:t xml:space="preserve"> is therefore to be considered the more effective the more the shortfall of the muscular voluntary activation is pronounced, just like happened exactly during the early postoperative period.</w:t>
      </w:r>
    </w:p>
    <w:p w14:paraId="50067B95" w14:textId="77777777" w:rsidR="00C724D8" w:rsidRPr="003C1279" w:rsidRDefault="00C724D8" w:rsidP="003C1279">
      <w:pPr>
        <w:pStyle w:val="Standard"/>
        <w:autoSpaceDE w:val="0"/>
        <w:spacing w:line="276" w:lineRule="auto"/>
        <w:ind w:left="-90"/>
        <w:jc w:val="both"/>
        <w:rPr>
          <w:rFonts w:cs="Times New Roman"/>
        </w:rPr>
      </w:pPr>
    </w:p>
    <w:p w14:paraId="23BFF566"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A difference between the studies regarded the timing and the regularity of the application of the NMES. In the study of Petterson et al. </w:t>
      </w:r>
      <w:r w:rsidR="008D1C3B" w:rsidRPr="003C1279">
        <w:rPr>
          <w:rFonts w:cs="Times New Roman"/>
        </w:rPr>
        <w:t>[23]</w:t>
      </w:r>
      <w:r w:rsidRPr="003C1279">
        <w:rPr>
          <w:rFonts w:cs="Times New Roman"/>
        </w:rPr>
        <w:t xml:space="preserve"> NMES was applied to the patients 2-3 times per week for approximately 15 minutes each time, while in the studies of Avramidis et al. </w:t>
      </w:r>
      <w:r w:rsidR="008D1C3B" w:rsidRPr="003C1279">
        <w:rPr>
          <w:rFonts w:cs="Times New Roman"/>
        </w:rPr>
        <w:t>[19, 20]</w:t>
      </w:r>
      <w:r w:rsidRPr="003C1279">
        <w:rPr>
          <w:rFonts w:cs="Times New Roman"/>
        </w:rPr>
        <w:t xml:space="preserve"> and Stevens-Lapsley et al. </w:t>
      </w:r>
      <w:r w:rsidR="008D1C3B" w:rsidRPr="003C1279">
        <w:rPr>
          <w:rFonts w:cs="Times New Roman"/>
        </w:rPr>
        <w:t>[22]</w:t>
      </w:r>
      <w:r w:rsidRPr="003C1279">
        <w:rPr>
          <w:rFonts w:cs="Times New Roman"/>
        </w:rPr>
        <w:t xml:space="preserve"> patients were instructed to apply by themselves. These different approaches led to widely differing treatment volumes between the studies. Clearly, the intensive treatment on a daily basis was more effective than the </w:t>
      </w:r>
      <w:r w:rsidRPr="003C1279">
        <w:rPr>
          <w:rFonts w:cs="Times New Roman"/>
        </w:rPr>
        <w:lastRenderedPageBreak/>
        <w:t>short bi-weekly sessions.</w:t>
      </w:r>
    </w:p>
    <w:p w14:paraId="1635FD9C" w14:textId="77777777" w:rsidR="00C724D8" w:rsidRPr="003C1279" w:rsidRDefault="00C724D8" w:rsidP="003C1279">
      <w:pPr>
        <w:pStyle w:val="Standard"/>
        <w:autoSpaceDE w:val="0"/>
        <w:spacing w:line="276" w:lineRule="auto"/>
        <w:ind w:left="-90" w:firstLine="170"/>
        <w:jc w:val="both"/>
        <w:rPr>
          <w:rFonts w:cs="Times New Roman"/>
        </w:rPr>
      </w:pPr>
    </w:p>
    <w:p w14:paraId="304EFBF3"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The intensity of the electrical stimulation also played a pivotal role in the effectiveness of the treatment. All studies used the maximum intensity tolerated by the patient; nevertheless, it has been noted that, in certain cases, the NMES may activate the nociceptive receptors, causing discomfort that can limit the effectiveness of the treatment. The use of electrodes with a large surface of skin contact can be a solution to this problem, because the possibility to reduce the current density (ratio of current and contact surface).</w:t>
      </w:r>
    </w:p>
    <w:p w14:paraId="61246E8B" w14:textId="77777777" w:rsidR="00C724D8" w:rsidRPr="003C1279" w:rsidRDefault="00C724D8" w:rsidP="003C1279">
      <w:pPr>
        <w:pStyle w:val="Standard"/>
        <w:autoSpaceDE w:val="0"/>
        <w:spacing w:line="276" w:lineRule="auto"/>
        <w:ind w:left="-90" w:firstLine="170"/>
        <w:jc w:val="both"/>
        <w:rPr>
          <w:rFonts w:cs="Times New Roman"/>
        </w:rPr>
      </w:pPr>
    </w:p>
    <w:p w14:paraId="4DB1BF75"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Most studies reported that the NMES allows a better functional recovery after total knee replacement surgery, particularly for individuals with a pronounced deficit of muscular activation of neuronal type. Also, no side effects has been correlated with the treatment with NMES, which has proven to be safe and free from risks to the health of the patient; finally, the application of NMES did not affect the integrity and the stability of the prosthesis. It is true that the differences tend to diminish after a certain time, but first is the control group that reaches the values of the NMES-group and not this one which loses the “advantage”. Second, and most important, the faster is the recover the better are the result in the long time for the patients. The compliance to treatment was remarkable because the treatment was very simple. A cutaneous reaction due to the adhesive of the electrodes, with consequent discomfort reported by some individuals, has been the only side effects reported.</w:t>
      </w:r>
    </w:p>
    <w:p w14:paraId="370ADA19" w14:textId="77777777" w:rsidR="00C724D8" w:rsidRPr="003C1279" w:rsidRDefault="00C724D8" w:rsidP="003C1279">
      <w:pPr>
        <w:pStyle w:val="Standard"/>
        <w:autoSpaceDE w:val="0"/>
        <w:spacing w:line="276" w:lineRule="auto"/>
        <w:ind w:left="-90" w:firstLine="170"/>
        <w:jc w:val="both"/>
        <w:rPr>
          <w:rFonts w:cs="Times New Roman"/>
        </w:rPr>
      </w:pPr>
    </w:p>
    <w:p w14:paraId="365DCED1"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The major limitation identified in this meta-analysis was linked to reduced sample size of the studies (excluded the study of Petterson et al.</w:t>
      </w:r>
      <w:r w:rsidR="008D1C3B" w:rsidRPr="003C1279">
        <w:rPr>
          <w:rFonts w:cs="Times New Roman"/>
        </w:rPr>
        <w:t xml:space="preserve">  [23]</w:t>
      </w:r>
      <w:r w:rsidRPr="003C1279">
        <w:rPr>
          <w:rFonts w:cs="Times New Roman"/>
        </w:rPr>
        <w:t xml:space="preserve">). Another limitation was represented by the heterogeneity of rehabilitation protocols, in particular as regards the setting of the NMES, but especially for the timing of commencement, duration and frequency of treatment. Also, for the studies of Avramidis et al. </w:t>
      </w:r>
      <w:r w:rsidR="008D1C3B" w:rsidRPr="003C1279">
        <w:rPr>
          <w:rFonts w:cs="Times New Roman"/>
        </w:rPr>
        <w:t xml:space="preserve">[19, 20] </w:t>
      </w:r>
      <w:r w:rsidRPr="003C1279">
        <w:rPr>
          <w:rFonts w:cs="Times New Roman"/>
        </w:rPr>
        <w:t xml:space="preserve"> and for that of Stevens-Lapsley et al. </w:t>
      </w:r>
      <w:r w:rsidR="008D1C3B" w:rsidRPr="003C1279">
        <w:rPr>
          <w:rFonts w:cs="Times New Roman"/>
        </w:rPr>
        <w:t>[22]</w:t>
      </w:r>
      <w:r w:rsidRPr="003C1279">
        <w:rPr>
          <w:rFonts w:cs="Times New Roman"/>
        </w:rPr>
        <w:t xml:space="preserve"> a blind assessment of the outcomes was not possible due to the reduced funds and therefore they incurred  into a detection bias.</w:t>
      </w:r>
    </w:p>
    <w:p w14:paraId="47D40AAE" w14:textId="77777777" w:rsidR="00C724D8" w:rsidRPr="003C1279" w:rsidRDefault="00C724D8" w:rsidP="003C1279">
      <w:pPr>
        <w:pStyle w:val="Standard"/>
        <w:autoSpaceDE w:val="0"/>
        <w:spacing w:line="276" w:lineRule="auto"/>
        <w:ind w:left="-90"/>
        <w:jc w:val="both"/>
        <w:rPr>
          <w:rFonts w:cs="Times New Roman"/>
        </w:rPr>
      </w:pPr>
    </w:p>
    <w:p w14:paraId="2CAA9E7D" w14:textId="77777777" w:rsidR="00C724D8" w:rsidRPr="003C1279" w:rsidRDefault="00D62801" w:rsidP="003C1279">
      <w:pPr>
        <w:pStyle w:val="Standard"/>
        <w:autoSpaceDE w:val="0"/>
        <w:spacing w:line="276" w:lineRule="auto"/>
        <w:ind w:left="-90"/>
        <w:jc w:val="both"/>
        <w:rPr>
          <w:rFonts w:cs="Times New Roman"/>
          <w:b/>
        </w:rPr>
      </w:pPr>
      <w:r w:rsidRPr="003C1279">
        <w:rPr>
          <w:rFonts w:cs="Times New Roman"/>
          <w:b/>
        </w:rPr>
        <w:t xml:space="preserve">Conclusions </w:t>
      </w:r>
    </w:p>
    <w:p w14:paraId="288EDCC1"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NMES after total knee arthroplasty offered several advantages: a) better and faster functional recovery, both from the point of view of the physical performance and of the joint function; b) increasing of quality of life, indices of disability, emotional and social functions. b) NMES is easy to apply and can be done daily by instructed persons, allowing a continuous and durable muscular training c) the use of NMES is safe and do not present any risk of injury secondary to treatment or implant damage.</w:t>
      </w:r>
    </w:p>
    <w:p w14:paraId="0BB7AC90" w14:textId="77777777" w:rsidR="00D855B1" w:rsidRPr="003C1279" w:rsidRDefault="00D855B1" w:rsidP="003C1279">
      <w:pPr>
        <w:pStyle w:val="Standard"/>
        <w:autoSpaceDE w:val="0"/>
        <w:spacing w:line="276" w:lineRule="auto"/>
        <w:ind w:left="-90"/>
        <w:jc w:val="both"/>
        <w:rPr>
          <w:rFonts w:cs="Times New Roman"/>
        </w:rPr>
      </w:pPr>
    </w:p>
    <w:p w14:paraId="2063B8A0" w14:textId="77777777" w:rsidR="00D855B1" w:rsidRPr="003C1279" w:rsidRDefault="00D855B1" w:rsidP="003C1279">
      <w:pPr>
        <w:pStyle w:val="Standard"/>
        <w:autoSpaceDE w:val="0"/>
        <w:spacing w:line="276" w:lineRule="auto"/>
        <w:ind w:left="-90"/>
        <w:jc w:val="both"/>
        <w:rPr>
          <w:rFonts w:cs="Times New Roman"/>
        </w:rPr>
      </w:pPr>
    </w:p>
    <w:p w14:paraId="2CAEA153" w14:textId="77777777" w:rsidR="00D855B1" w:rsidRPr="003C1279" w:rsidRDefault="00D855B1" w:rsidP="003C1279">
      <w:pPr>
        <w:pStyle w:val="Standard"/>
        <w:autoSpaceDE w:val="0"/>
        <w:spacing w:line="276" w:lineRule="auto"/>
        <w:ind w:left="-90"/>
        <w:jc w:val="both"/>
        <w:rPr>
          <w:rFonts w:cs="Times New Roman"/>
          <w:b/>
          <w:lang w:val="en-GB"/>
        </w:rPr>
      </w:pPr>
      <w:r w:rsidRPr="003C1279">
        <w:rPr>
          <w:rFonts w:cs="Times New Roman"/>
          <w:b/>
          <w:lang w:val="en-GB"/>
        </w:rPr>
        <w:t>Conflicts of interest</w:t>
      </w:r>
    </w:p>
    <w:p w14:paraId="426FC6C4" w14:textId="77777777" w:rsidR="00D64AB9" w:rsidRPr="003C1279" w:rsidRDefault="00D855B1" w:rsidP="003C1279">
      <w:pPr>
        <w:pStyle w:val="Standard"/>
        <w:autoSpaceDE w:val="0"/>
        <w:spacing w:line="276" w:lineRule="auto"/>
        <w:ind w:left="-90"/>
        <w:jc w:val="both"/>
        <w:rPr>
          <w:rFonts w:cs="Times New Roman"/>
          <w:lang w:val="en-GB"/>
        </w:rPr>
      </w:pPr>
      <w:r w:rsidRPr="003C1279">
        <w:rPr>
          <w:rFonts w:cs="Times New Roman"/>
          <w:lang w:val="en-GB"/>
        </w:rPr>
        <w:t>None: no benefits in any form have been received or will be received from a commercial party related directly or indirectly to the subject of this article.</w:t>
      </w:r>
    </w:p>
    <w:p w14:paraId="55293055" w14:textId="77777777" w:rsidR="006F77D6" w:rsidRPr="003C1279" w:rsidRDefault="006F77D6" w:rsidP="003C1279">
      <w:pPr>
        <w:pStyle w:val="Standard"/>
        <w:autoSpaceDE w:val="0"/>
        <w:spacing w:line="276" w:lineRule="auto"/>
        <w:ind w:left="-90"/>
        <w:jc w:val="both"/>
        <w:rPr>
          <w:rFonts w:cs="Times New Roman"/>
          <w:b/>
          <w:lang w:val="en-GB"/>
        </w:rPr>
      </w:pPr>
    </w:p>
    <w:p w14:paraId="283012A2" w14:textId="77777777" w:rsidR="006F77D6" w:rsidRPr="003C1279" w:rsidRDefault="006F77D6" w:rsidP="003C1279">
      <w:pPr>
        <w:pStyle w:val="Standard"/>
        <w:autoSpaceDE w:val="0"/>
        <w:spacing w:line="276" w:lineRule="auto"/>
        <w:ind w:left="-90"/>
        <w:jc w:val="both"/>
        <w:rPr>
          <w:rFonts w:cs="Times New Roman"/>
          <w:b/>
        </w:rPr>
      </w:pPr>
      <w:r w:rsidRPr="003C1279">
        <w:rPr>
          <w:rFonts w:cs="Times New Roman"/>
          <w:b/>
        </w:rPr>
        <w:t>Caption</w:t>
      </w:r>
    </w:p>
    <w:p w14:paraId="57479DF4" w14:textId="77777777" w:rsidR="006F77D6" w:rsidRPr="003C1279" w:rsidRDefault="006F77D6" w:rsidP="003C1279">
      <w:pPr>
        <w:pStyle w:val="Standard"/>
        <w:autoSpaceDE w:val="0"/>
        <w:spacing w:line="276" w:lineRule="auto"/>
        <w:ind w:left="-90"/>
        <w:jc w:val="both"/>
        <w:rPr>
          <w:rFonts w:cs="Times New Roman"/>
          <w:lang w:val="en-GB"/>
        </w:rPr>
      </w:pPr>
      <w:r w:rsidRPr="003C1279">
        <w:rPr>
          <w:rFonts w:cs="Times New Roman"/>
        </w:rPr>
        <w:t xml:space="preserve">Figure 1: The PRISMA flow diagram encapsulates the items assessed and the reasons for </w:t>
      </w:r>
      <w:r w:rsidRPr="003C1279">
        <w:rPr>
          <w:rFonts w:cs="Times New Roman"/>
        </w:rPr>
        <w:lastRenderedPageBreak/>
        <w:t>exclusions.</w:t>
      </w:r>
    </w:p>
    <w:p w14:paraId="71836FF5" w14:textId="77777777" w:rsidR="00D64AB9" w:rsidRPr="003C1279" w:rsidRDefault="00D64AB9" w:rsidP="003C1279">
      <w:pPr>
        <w:pStyle w:val="Standard"/>
        <w:autoSpaceDE w:val="0"/>
        <w:spacing w:line="276" w:lineRule="auto"/>
        <w:ind w:left="-90"/>
        <w:jc w:val="both"/>
        <w:rPr>
          <w:rFonts w:cs="Times New Roman"/>
          <w:lang w:val="en-GB"/>
        </w:rPr>
      </w:pPr>
    </w:p>
    <w:p w14:paraId="5A6AED6F" w14:textId="77777777" w:rsidR="00C724D8" w:rsidRPr="003C1279" w:rsidRDefault="00D64AB9" w:rsidP="003C1279">
      <w:pPr>
        <w:pStyle w:val="Standard"/>
        <w:autoSpaceDE w:val="0"/>
        <w:spacing w:line="276" w:lineRule="auto"/>
        <w:ind w:left="-90"/>
        <w:jc w:val="both"/>
        <w:rPr>
          <w:rFonts w:cs="Times New Roman"/>
          <w:b/>
          <w:lang w:val="it-IT"/>
        </w:rPr>
      </w:pPr>
      <w:r w:rsidRPr="003C1279">
        <w:rPr>
          <w:rFonts w:cs="Times New Roman"/>
          <w:b/>
          <w:lang w:val="it-IT"/>
        </w:rPr>
        <w:t>R</w:t>
      </w:r>
      <w:r w:rsidR="00D62801" w:rsidRPr="003C1279">
        <w:rPr>
          <w:rFonts w:cs="Times New Roman"/>
          <w:b/>
          <w:lang w:val="it-IT"/>
        </w:rPr>
        <w:t xml:space="preserve">eferences </w:t>
      </w:r>
    </w:p>
    <w:p w14:paraId="532396A9" w14:textId="77777777" w:rsidR="00C724D8" w:rsidRPr="003C1279" w:rsidRDefault="00C724D8" w:rsidP="003C1279">
      <w:pPr>
        <w:pStyle w:val="Standard"/>
        <w:autoSpaceDE w:val="0"/>
        <w:spacing w:line="276" w:lineRule="auto"/>
        <w:ind w:left="-90"/>
        <w:jc w:val="both"/>
        <w:rPr>
          <w:rFonts w:cs="Times New Roman"/>
          <w:b/>
          <w:lang w:val="it-IT"/>
        </w:rPr>
      </w:pPr>
    </w:p>
    <w:p w14:paraId="1757BB59"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lang w:val="it-IT"/>
        </w:rPr>
        <w:t xml:space="preserve">1] Bistolfi A, Lee GC, Deledda D, Rosso F, Berchialla P, Crova M, et al. </w:t>
      </w:r>
      <w:r w:rsidRPr="003C1279">
        <w:rPr>
          <w:rFonts w:cs="Times New Roman"/>
        </w:rPr>
        <w:t>NexGen® LPS mobile bearing total knee arthroplasty: 10-year results. Knee Surg Sports Traumatol Arthrosc 2014;22(8):1786-1792.</w:t>
      </w:r>
    </w:p>
    <w:p w14:paraId="1BBAF2AB" w14:textId="77777777" w:rsidR="00C724D8" w:rsidRPr="003C1279" w:rsidRDefault="00C724D8" w:rsidP="003C1279">
      <w:pPr>
        <w:pStyle w:val="Standard"/>
        <w:autoSpaceDE w:val="0"/>
        <w:spacing w:line="276" w:lineRule="auto"/>
        <w:ind w:left="-90"/>
        <w:jc w:val="both"/>
        <w:rPr>
          <w:rFonts w:cs="Times New Roman"/>
        </w:rPr>
      </w:pPr>
    </w:p>
    <w:p w14:paraId="6DFC3979"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lang w:val="it-IT"/>
        </w:rPr>
        <w:t xml:space="preserve">2] Bistolfi A, Massazza G, Rosso F, Deledda D, Gaito V, Lagalla F, et al. </w:t>
      </w:r>
      <w:r w:rsidRPr="003C1279">
        <w:rPr>
          <w:rFonts w:cs="Times New Roman"/>
        </w:rPr>
        <w:t>Cemented fixed-bearing PFC total knee arthroplasty: survival and failure analysis at 12-17 years. J Orthop Traumatol 2011;12(3):131-136</w:t>
      </w:r>
    </w:p>
    <w:p w14:paraId="0035CF5F" w14:textId="77777777" w:rsidR="00C724D8" w:rsidRPr="003C1279" w:rsidRDefault="00C724D8" w:rsidP="003C1279">
      <w:pPr>
        <w:pStyle w:val="Standard"/>
        <w:autoSpaceDE w:val="0"/>
        <w:spacing w:line="276" w:lineRule="auto"/>
        <w:ind w:left="-90"/>
        <w:jc w:val="both"/>
        <w:rPr>
          <w:rFonts w:cs="Times New Roman"/>
        </w:rPr>
      </w:pPr>
    </w:p>
    <w:p w14:paraId="2B611F18"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3] Buechel FF Sr. Long-term follow up after mobile-bearing total knee replacement. Clin Orthop Relat Res 2002;404:40-50</w:t>
      </w:r>
    </w:p>
    <w:p w14:paraId="47F29C4F" w14:textId="77777777" w:rsidR="00C724D8" w:rsidRPr="003C1279" w:rsidRDefault="00C724D8" w:rsidP="003C1279">
      <w:pPr>
        <w:pStyle w:val="Standard"/>
        <w:autoSpaceDE w:val="0"/>
        <w:spacing w:line="276" w:lineRule="auto"/>
        <w:ind w:left="-90"/>
        <w:jc w:val="both"/>
        <w:rPr>
          <w:rFonts w:cs="Times New Roman"/>
        </w:rPr>
      </w:pPr>
    </w:p>
    <w:p w14:paraId="41635A97"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4] Hawker G, Wright J, Coyte P, Paul J, Dittus R, Croxford R et al. Health-related quality of life after knee replacement. J Bone Joint Surg Am 1998;80-A:163-173</w:t>
      </w:r>
    </w:p>
    <w:p w14:paraId="1B972F2B" w14:textId="77777777" w:rsidR="00C724D8" w:rsidRPr="003C1279" w:rsidRDefault="00C724D8" w:rsidP="003C1279">
      <w:pPr>
        <w:pStyle w:val="Standard"/>
        <w:autoSpaceDE w:val="0"/>
        <w:spacing w:line="276" w:lineRule="auto"/>
        <w:ind w:left="-90"/>
        <w:jc w:val="both"/>
        <w:rPr>
          <w:rFonts w:cs="Times New Roman"/>
        </w:rPr>
      </w:pPr>
    </w:p>
    <w:p w14:paraId="11F95612"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5] Bistolfi A, Massazza G, Lee GC, Deledda D, Berchialla P, Crova M. Comparison of fixed and mobile-bearing total knee arthroplasty at a mean follow-up of 116 months. J Bone Joint Surg Am 2013;19-95(12):e83.</w:t>
      </w:r>
    </w:p>
    <w:p w14:paraId="2567B507" w14:textId="77777777" w:rsidR="00C724D8" w:rsidRPr="003C1279" w:rsidRDefault="00C724D8" w:rsidP="003C1279">
      <w:pPr>
        <w:pStyle w:val="Standard"/>
        <w:autoSpaceDE w:val="0"/>
        <w:spacing w:line="276" w:lineRule="auto"/>
        <w:ind w:left="-90"/>
        <w:jc w:val="both"/>
        <w:rPr>
          <w:rFonts w:cs="Times New Roman"/>
        </w:rPr>
      </w:pPr>
    </w:p>
    <w:p w14:paraId="169881C5"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6] Beswick AD, Wylde V, Gooberman-Hill R, Blom A, Dieppe P. What proportion of patients report long-term pain after total hip or knee replacement for osteoarthritis? A systematic review of prospective studies in unselected patients. BMJ Open 2012;22-2(1):e000435.</w:t>
      </w:r>
    </w:p>
    <w:p w14:paraId="73B72D31" w14:textId="77777777" w:rsidR="00C724D8" w:rsidRPr="003C1279" w:rsidRDefault="00C724D8" w:rsidP="003C1279">
      <w:pPr>
        <w:pStyle w:val="Standard"/>
        <w:autoSpaceDE w:val="0"/>
        <w:spacing w:line="276" w:lineRule="auto"/>
        <w:ind w:left="-90"/>
        <w:jc w:val="both"/>
        <w:rPr>
          <w:rFonts w:cs="Times New Roman"/>
        </w:rPr>
      </w:pPr>
    </w:p>
    <w:p w14:paraId="554DADB5"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 7] Bourne RB, Chesworth BM, Davis A, Mahomed N, Charron K. Patient satisfaction after total knee arthroplasty: who is satisfied and who is not? Clin Orthop Relat Res 2010;468(1):57-63</w:t>
      </w:r>
    </w:p>
    <w:p w14:paraId="200DCACD" w14:textId="77777777" w:rsidR="00C724D8" w:rsidRPr="003C1279" w:rsidRDefault="00C724D8" w:rsidP="003C1279">
      <w:pPr>
        <w:pStyle w:val="Standard"/>
        <w:autoSpaceDE w:val="0"/>
        <w:spacing w:line="276" w:lineRule="auto"/>
        <w:ind w:left="-90"/>
        <w:jc w:val="both"/>
        <w:rPr>
          <w:rFonts w:cs="Times New Roman"/>
        </w:rPr>
      </w:pPr>
    </w:p>
    <w:p w14:paraId="4C29F057"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8] Escobar A, Quintana JM, Bilbao A, Aróstegui I, Lafuente I, Vidaurreta I. Responsiveness and clinically important differences for the WOMAC and SF-36 after total knee replacement. Osteoarthritis Cartilage 2007;15:273-280</w:t>
      </w:r>
    </w:p>
    <w:p w14:paraId="7FF61996" w14:textId="77777777" w:rsidR="00C724D8" w:rsidRPr="003C1279" w:rsidRDefault="00C724D8" w:rsidP="003C1279">
      <w:pPr>
        <w:pStyle w:val="Standard"/>
        <w:autoSpaceDE w:val="0"/>
        <w:spacing w:line="276" w:lineRule="auto"/>
        <w:ind w:left="-90"/>
        <w:jc w:val="both"/>
        <w:rPr>
          <w:rFonts w:cs="Times New Roman"/>
        </w:rPr>
      </w:pPr>
    </w:p>
    <w:p w14:paraId="1F40837C"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9] Bade MJ, Kohrt WM, Stevens-Lapsley JE. Outcomes before and after Total Knee Arthroplasty compared to healthy adults. J Orthop Sports Phys Ther 2010;40(9):559-567</w:t>
      </w:r>
    </w:p>
    <w:p w14:paraId="0900E66B" w14:textId="77777777" w:rsidR="00C724D8" w:rsidRPr="003C1279" w:rsidRDefault="00C724D8" w:rsidP="003C1279">
      <w:pPr>
        <w:pStyle w:val="Standard"/>
        <w:autoSpaceDE w:val="0"/>
        <w:spacing w:line="276" w:lineRule="auto"/>
        <w:ind w:left="-90"/>
        <w:jc w:val="both"/>
        <w:rPr>
          <w:rFonts w:cs="Times New Roman"/>
        </w:rPr>
      </w:pPr>
    </w:p>
    <w:p w14:paraId="02945D75"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10] Kittelson AL, Stackhouse SK, Stevens-Lapsley JE. Neuromuscular electrical stimulation after total joint arthroplasty: a critical review of recent controlled studies. Eur J Phys Rehabil Med 2013;49:909-920</w:t>
      </w:r>
    </w:p>
    <w:p w14:paraId="10D20907" w14:textId="77777777" w:rsidR="00C724D8" w:rsidRPr="003C1279" w:rsidRDefault="00C724D8" w:rsidP="003C1279">
      <w:pPr>
        <w:pStyle w:val="Standard"/>
        <w:autoSpaceDE w:val="0"/>
        <w:spacing w:line="276" w:lineRule="auto"/>
        <w:ind w:left="-90"/>
        <w:jc w:val="both"/>
        <w:rPr>
          <w:rFonts w:cs="Times New Roman"/>
        </w:rPr>
      </w:pPr>
    </w:p>
    <w:p w14:paraId="64B11BDF"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11] Mintken PE, Carpenter KJ, Eckhoff D, Kohrt WM, Stevens JE. Early neuromuscular electrical stimulation to optimize quadriceps muscle function following total knee arthroplasty: a case report. J Orthop Sports Phys Ther 2007;37:364-371</w:t>
      </w:r>
    </w:p>
    <w:p w14:paraId="7987320B" w14:textId="77777777" w:rsidR="00C724D8" w:rsidRPr="003C1279" w:rsidRDefault="00C724D8" w:rsidP="003C1279">
      <w:pPr>
        <w:pStyle w:val="Standard"/>
        <w:autoSpaceDE w:val="0"/>
        <w:spacing w:line="276" w:lineRule="auto"/>
        <w:ind w:left="-90"/>
        <w:jc w:val="both"/>
        <w:rPr>
          <w:rFonts w:cs="Times New Roman"/>
        </w:rPr>
      </w:pPr>
    </w:p>
    <w:p w14:paraId="5297CFBF"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12] Petterson S, Snyder-Mackler L. The use of neuromuscular electrical stimulation to improve activation deficits in a patient with chronic quadriceps strenght impairments following total knee arthroplasty. J Orthop Sports Phys Ther 2006;36:678-685</w:t>
      </w:r>
    </w:p>
    <w:p w14:paraId="2509C70D" w14:textId="77777777" w:rsidR="00C724D8" w:rsidRPr="003C1279" w:rsidRDefault="00C724D8" w:rsidP="003C1279">
      <w:pPr>
        <w:pStyle w:val="Standard"/>
        <w:autoSpaceDE w:val="0"/>
        <w:spacing w:line="276" w:lineRule="auto"/>
        <w:ind w:left="-90"/>
        <w:jc w:val="both"/>
        <w:rPr>
          <w:rFonts w:cs="Times New Roman"/>
        </w:rPr>
      </w:pPr>
    </w:p>
    <w:p w14:paraId="03261073"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13] Gregory CM, Bickel CS. Recruitment patterns in human skeletal muscle during electrical stimulation. Phys Ther 2005;85:358-364</w:t>
      </w:r>
    </w:p>
    <w:p w14:paraId="6651AD45" w14:textId="77777777" w:rsidR="00C724D8" w:rsidRPr="003C1279" w:rsidRDefault="00C724D8" w:rsidP="003C1279">
      <w:pPr>
        <w:pStyle w:val="Standard"/>
        <w:autoSpaceDE w:val="0"/>
        <w:spacing w:line="276" w:lineRule="auto"/>
        <w:ind w:left="-90"/>
        <w:jc w:val="both"/>
        <w:rPr>
          <w:rFonts w:cs="Times New Roman"/>
        </w:rPr>
      </w:pPr>
    </w:p>
    <w:p w14:paraId="66711153"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14] Maffiuletti NA. Physiological and methodological considerations for the use of neuromuscular electrical stimulation. Eur J Appl Physiol 2010;110:223-234</w:t>
      </w:r>
    </w:p>
    <w:p w14:paraId="1AB28528" w14:textId="77777777" w:rsidR="00C724D8" w:rsidRPr="003C1279" w:rsidRDefault="00C724D8" w:rsidP="003C1279">
      <w:pPr>
        <w:pStyle w:val="Standard"/>
        <w:autoSpaceDE w:val="0"/>
        <w:spacing w:line="276" w:lineRule="auto"/>
        <w:ind w:left="-90"/>
        <w:jc w:val="both"/>
        <w:rPr>
          <w:rFonts w:cs="Times New Roman"/>
        </w:rPr>
      </w:pPr>
    </w:p>
    <w:p w14:paraId="4DAB0781" w14:textId="77777777" w:rsidR="00C724D8" w:rsidRPr="003C1279" w:rsidRDefault="00FD159B" w:rsidP="003C1279">
      <w:pPr>
        <w:pStyle w:val="Standard"/>
        <w:autoSpaceDE w:val="0"/>
        <w:spacing w:line="276" w:lineRule="auto"/>
        <w:ind w:left="-90"/>
        <w:jc w:val="both"/>
        <w:rPr>
          <w:rFonts w:cs="Times New Roman"/>
          <w:lang w:val="fr-FR"/>
        </w:rPr>
      </w:pPr>
      <w:r w:rsidRPr="003C1279">
        <w:rPr>
          <w:rFonts w:cs="Times New Roman"/>
        </w:rPr>
        <w:t xml:space="preserve">15] Golaszewski S, Kremer C, Wagner M, Felber S, Aichner F, Dimitrijevic MM. Functional magnetic resonance imaging of the human motor cortex before and after whole-hand afferent electrical stimulation. </w:t>
      </w:r>
      <w:r w:rsidRPr="003C1279">
        <w:rPr>
          <w:rFonts w:cs="Times New Roman"/>
          <w:lang w:val="fr-FR"/>
        </w:rPr>
        <w:t>Scand J Rehabil Med 1999;31:165-173</w:t>
      </w:r>
    </w:p>
    <w:p w14:paraId="354BADA4" w14:textId="77777777" w:rsidR="00C724D8" w:rsidRPr="003C1279" w:rsidRDefault="00C724D8" w:rsidP="003C1279">
      <w:pPr>
        <w:pStyle w:val="Standard"/>
        <w:autoSpaceDE w:val="0"/>
        <w:spacing w:line="276" w:lineRule="auto"/>
        <w:ind w:left="-90"/>
        <w:jc w:val="both"/>
        <w:rPr>
          <w:rFonts w:cs="Times New Roman"/>
          <w:lang w:val="fr-FR"/>
        </w:rPr>
      </w:pPr>
    </w:p>
    <w:p w14:paraId="335134E3"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lang w:val="fr-FR"/>
        </w:rPr>
        <w:t xml:space="preserve">16] Stackhouse SK, Binder-Macleod SA, Stackhouse CA, McCarthy JJ, Prosser LA, Lee SCK et al. </w:t>
      </w:r>
      <w:r w:rsidRPr="003C1279">
        <w:rPr>
          <w:rFonts w:cs="Times New Roman"/>
        </w:rPr>
        <w:t>Neuromuscular electrical stimulation versus volitional isometric strength training in children with spastic Diplegic cerebral palsy: A preliminary study. Neurorehabil Neural Repair 2007;21:475-485.</w:t>
      </w:r>
    </w:p>
    <w:p w14:paraId="4D66A6CE" w14:textId="77777777" w:rsidR="00C724D8" w:rsidRPr="003C1279" w:rsidRDefault="00C724D8" w:rsidP="003C1279">
      <w:pPr>
        <w:pStyle w:val="Standard"/>
        <w:autoSpaceDE w:val="0"/>
        <w:spacing w:line="276" w:lineRule="auto"/>
        <w:ind w:left="-90"/>
        <w:jc w:val="both"/>
        <w:rPr>
          <w:rFonts w:cs="Times New Roman"/>
        </w:rPr>
      </w:pPr>
    </w:p>
    <w:p w14:paraId="761A0B78"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17] Moher D, Shamseer L, Clarke M, Ghersi D, Liberati A, Petticrew M,et al. (PRISMA-P Group). Preferred reporting items for systematic review and meta-analysis protocols (PRISMA-P) 2015 statement. Syst Rev. 2015;1-4:1.</w:t>
      </w:r>
    </w:p>
    <w:p w14:paraId="6036E43E" w14:textId="77777777" w:rsidR="00C724D8" w:rsidRPr="003C1279" w:rsidRDefault="00C724D8" w:rsidP="003C1279">
      <w:pPr>
        <w:pStyle w:val="Standard"/>
        <w:autoSpaceDE w:val="0"/>
        <w:spacing w:line="276" w:lineRule="auto"/>
        <w:ind w:left="-90"/>
        <w:jc w:val="both"/>
        <w:rPr>
          <w:rFonts w:cs="Times New Roman"/>
        </w:rPr>
      </w:pPr>
    </w:p>
    <w:p w14:paraId="34DEFCDC"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18] Neyeloff JL1, Fuchs SC, Moreira LB. Meta-analyses and Forest plots using a microsoft excel spreadsheet: step-by-step guide focusing on descriptive data analysis. BMC Res Notes. 2012;20-5:52. </w:t>
      </w:r>
    </w:p>
    <w:p w14:paraId="699751B2" w14:textId="77777777" w:rsidR="00C724D8" w:rsidRPr="003C1279" w:rsidRDefault="00C724D8" w:rsidP="003C1279">
      <w:pPr>
        <w:pStyle w:val="Standard"/>
        <w:autoSpaceDE w:val="0"/>
        <w:spacing w:line="276" w:lineRule="auto"/>
        <w:ind w:left="-90"/>
        <w:jc w:val="both"/>
        <w:rPr>
          <w:rFonts w:cs="Times New Roman"/>
        </w:rPr>
      </w:pPr>
    </w:p>
    <w:p w14:paraId="6D260855"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19] Avramidis K, Strike PW, Taylor PN, Swain ID. Effectiveness of electric stimulation of the vastus medialis muscle in the rehabilitation of patient after total knee arthroplasty. Arch Phys Med Rehabil 2003;84:1850-1853</w:t>
      </w:r>
    </w:p>
    <w:p w14:paraId="671A8995" w14:textId="77777777" w:rsidR="00C724D8" w:rsidRPr="003C1279" w:rsidRDefault="00C724D8" w:rsidP="003C1279">
      <w:pPr>
        <w:pStyle w:val="Standard"/>
        <w:autoSpaceDE w:val="0"/>
        <w:spacing w:line="276" w:lineRule="auto"/>
        <w:ind w:left="-90"/>
        <w:jc w:val="both"/>
        <w:rPr>
          <w:rFonts w:cs="Times New Roman"/>
        </w:rPr>
      </w:pPr>
    </w:p>
    <w:p w14:paraId="001CF7C4"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20] Avramidis K, Karachalios T, Popotonasios K, Sacorafas D, Papathanasiades AA, Malizos KN. Does electric stimulation of the vastus medialis muscle influence rehabilitation after total knee replacement? Orthopedics 2011;34(3):175-198</w:t>
      </w:r>
    </w:p>
    <w:p w14:paraId="7259DD7C" w14:textId="77777777" w:rsidR="00C724D8" w:rsidRPr="003C1279" w:rsidRDefault="00C724D8" w:rsidP="003C1279">
      <w:pPr>
        <w:pStyle w:val="Standard"/>
        <w:autoSpaceDE w:val="0"/>
        <w:spacing w:line="276" w:lineRule="auto"/>
        <w:ind w:left="-90"/>
        <w:jc w:val="both"/>
        <w:rPr>
          <w:rFonts w:cs="Times New Roman"/>
        </w:rPr>
      </w:pPr>
    </w:p>
    <w:p w14:paraId="7C92E298" w14:textId="77777777" w:rsidR="00C724D8" w:rsidRPr="003C1279" w:rsidRDefault="00FD159B" w:rsidP="003C1279">
      <w:pPr>
        <w:pStyle w:val="Standard"/>
        <w:autoSpaceDE w:val="0"/>
        <w:spacing w:line="276" w:lineRule="auto"/>
        <w:ind w:left="-90"/>
        <w:jc w:val="both"/>
        <w:rPr>
          <w:rFonts w:cs="Times New Roman"/>
          <w:lang w:val="nl-NL"/>
        </w:rPr>
      </w:pPr>
      <w:r w:rsidRPr="003C1279">
        <w:rPr>
          <w:rFonts w:cs="Times New Roman"/>
        </w:rPr>
        <w:t xml:space="preserve">21] Levine M, McElroy K, Stakich V, Cicco J. Comparing conventional physical therapy rehabilitation with neuromuscular electrical stimulation after TKA. </w:t>
      </w:r>
      <w:r w:rsidRPr="003C1279">
        <w:rPr>
          <w:rFonts w:cs="Times New Roman"/>
          <w:lang w:val="nl-NL"/>
        </w:rPr>
        <w:t>Orthopedics 2013;36(3):319-24.</w:t>
      </w:r>
    </w:p>
    <w:p w14:paraId="2A0BD5E2" w14:textId="77777777" w:rsidR="00C724D8" w:rsidRPr="003C1279" w:rsidRDefault="00C724D8" w:rsidP="003C1279">
      <w:pPr>
        <w:pStyle w:val="Standard"/>
        <w:autoSpaceDE w:val="0"/>
        <w:spacing w:line="276" w:lineRule="auto"/>
        <w:ind w:left="-90"/>
        <w:jc w:val="both"/>
        <w:rPr>
          <w:rFonts w:cs="Times New Roman"/>
          <w:lang w:val="nl-NL"/>
        </w:rPr>
      </w:pPr>
    </w:p>
    <w:p w14:paraId="231911E6"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lang w:val="nl-NL"/>
        </w:rPr>
        <w:t xml:space="preserve">22] Stevens-Lapsley JE, Balter JE, Wolfe P, Eckoff DG, Kohrt WM. </w:t>
      </w:r>
      <w:r w:rsidRPr="003C1279">
        <w:rPr>
          <w:rFonts w:cs="Times New Roman"/>
        </w:rPr>
        <w:t>Early neuromuscular electrical stimulation to improve quadriceps muscle strength after total knee arthroplasty: a randomized controlled trial. Phys Ther 2012;92:210-226</w:t>
      </w:r>
    </w:p>
    <w:p w14:paraId="13D07362" w14:textId="77777777" w:rsidR="00C724D8" w:rsidRPr="003C1279" w:rsidRDefault="00C724D8" w:rsidP="003C1279">
      <w:pPr>
        <w:pStyle w:val="Standard"/>
        <w:autoSpaceDE w:val="0"/>
        <w:spacing w:line="276" w:lineRule="auto"/>
        <w:ind w:left="-90"/>
        <w:jc w:val="both"/>
        <w:rPr>
          <w:rFonts w:cs="Times New Roman"/>
        </w:rPr>
      </w:pPr>
    </w:p>
    <w:p w14:paraId="3EE72D60" w14:textId="77777777" w:rsidR="00C724D8" w:rsidRPr="003C1279" w:rsidRDefault="00FD159B" w:rsidP="003C1279">
      <w:pPr>
        <w:pStyle w:val="Standard"/>
        <w:autoSpaceDE w:val="0"/>
        <w:spacing w:line="276" w:lineRule="auto"/>
        <w:ind w:left="-90"/>
        <w:jc w:val="both"/>
        <w:rPr>
          <w:rFonts w:cs="Times New Roman"/>
        </w:rPr>
      </w:pPr>
      <w:r w:rsidRPr="003C1279">
        <w:rPr>
          <w:rFonts w:cs="Times New Roman"/>
        </w:rPr>
        <w:t xml:space="preserve"> 23] Petterson SC, Mizner RL, Stevens JE, Raisis L, Bodenstab A, Newcomb W, et al. </w:t>
      </w:r>
      <w:r w:rsidRPr="003C1279">
        <w:rPr>
          <w:rFonts w:cs="Times New Roman"/>
        </w:rPr>
        <w:lastRenderedPageBreak/>
        <w:t>Improved function from progressive strengthening interventions after total knee arthroplasty: a randomized clinical trial with an imbedded prospective cohort. Arthritis Rheum 2009;61(2):174-83</w:t>
      </w:r>
    </w:p>
    <w:p w14:paraId="45C48D3F" w14:textId="77777777" w:rsidR="00C724D8" w:rsidRPr="003C1279" w:rsidRDefault="00C724D8" w:rsidP="003C1279">
      <w:pPr>
        <w:pStyle w:val="Standard"/>
        <w:autoSpaceDE w:val="0"/>
        <w:spacing w:line="276" w:lineRule="auto"/>
        <w:ind w:left="-90"/>
        <w:jc w:val="both"/>
        <w:rPr>
          <w:rFonts w:cs="Times New Roman"/>
        </w:rPr>
      </w:pPr>
    </w:p>
    <w:p w14:paraId="206B8DC5" w14:textId="77777777" w:rsidR="001B364B" w:rsidRPr="003C1279" w:rsidRDefault="001B364B" w:rsidP="003C1279">
      <w:pPr>
        <w:pStyle w:val="Standard"/>
        <w:autoSpaceDE w:val="0"/>
        <w:spacing w:line="276" w:lineRule="auto"/>
        <w:ind w:left="-90"/>
        <w:jc w:val="both"/>
        <w:rPr>
          <w:rFonts w:cs="Times New Roman"/>
        </w:rPr>
      </w:pPr>
      <w:r w:rsidRPr="003C1279">
        <w:rPr>
          <w:rFonts w:cs="Times New Roman"/>
        </w:rPr>
        <w:t xml:space="preserve">24] Demircioglu, D.T., Paker, N., Erbil, E., Bugdayci, D., Emre, T.Y. The effect of neuromuscular electrical stimulation on functional status and quality of life after knee arthroplasty: a randomized controlled study. J Phys Ther Sci 2015;27, 2501–2506. </w:t>
      </w:r>
    </w:p>
    <w:p w14:paraId="592A76E9" w14:textId="77777777" w:rsidR="001B364B" w:rsidRPr="003C1279" w:rsidRDefault="001B364B" w:rsidP="003C1279">
      <w:pPr>
        <w:pStyle w:val="Standard"/>
        <w:autoSpaceDE w:val="0"/>
        <w:spacing w:line="276" w:lineRule="auto"/>
        <w:ind w:left="-90"/>
        <w:jc w:val="both"/>
        <w:rPr>
          <w:rFonts w:cs="Times New Roman"/>
        </w:rPr>
      </w:pPr>
    </w:p>
    <w:p w14:paraId="4D20B943" w14:textId="77777777" w:rsidR="00C724D8" w:rsidRPr="003C1279" w:rsidRDefault="001B364B" w:rsidP="003C1279">
      <w:pPr>
        <w:pStyle w:val="Standard"/>
        <w:autoSpaceDE w:val="0"/>
        <w:spacing w:line="276" w:lineRule="auto"/>
        <w:ind w:left="-90"/>
        <w:jc w:val="both"/>
        <w:rPr>
          <w:rFonts w:cs="Times New Roman"/>
        </w:rPr>
      </w:pPr>
      <w:r w:rsidRPr="003C1279">
        <w:rPr>
          <w:rFonts w:cs="Times New Roman"/>
        </w:rPr>
        <w:t>25</w:t>
      </w:r>
      <w:r w:rsidR="00FD159B" w:rsidRPr="003C1279">
        <w:rPr>
          <w:rFonts w:cs="Times New Roman"/>
        </w:rPr>
        <w:t>] Stevens-Lapsley JE, Balter JE, Wolfe P, Eckhoff DG, Schwartz RS, Schenkman M, et al. Relationship between intensity of quadriceps muscle neuromuscular electrical stimulation and strength recovery after total knee arthroplasty. Phys Ther 2012;92(9):1187-96.</w:t>
      </w:r>
    </w:p>
    <w:p w14:paraId="7B701966" w14:textId="77777777" w:rsidR="00C724D8" w:rsidRPr="003C1279" w:rsidRDefault="00C724D8" w:rsidP="003C1279">
      <w:pPr>
        <w:pStyle w:val="Standard"/>
        <w:autoSpaceDE w:val="0"/>
        <w:spacing w:line="276" w:lineRule="auto"/>
        <w:ind w:left="-90"/>
        <w:jc w:val="both"/>
        <w:rPr>
          <w:rFonts w:cs="Times New Roman"/>
        </w:rPr>
      </w:pPr>
    </w:p>
    <w:p w14:paraId="168B6AFF" w14:textId="77777777" w:rsidR="00C724D8" w:rsidRPr="003C1279" w:rsidRDefault="001B364B" w:rsidP="003C1279">
      <w:pPr>
        <w:pStyle w:val="Standard"/>
        <w:autoSpaceDE w:val="0"/>
        <w:spacing w:line="276" w:lineRule="auto"/>
        <w:ind w:left="-90"/>
        <w:jc w:val="both"/>
        <w:rPr>
          <w:rFonts w:cs="Times New Roman"/>
        </w:rPr>
      </w:pPr>
      <w:r w:rsidRPr="003C1279">
        <w:rPr>
          <w:rFonts w:cs="Times New Roman"/>
        </w:rPr>
        <w:t>26</w:t>
      </w:r>
      <w:r w:rsidR="00FD159B" w:rsidRPr="003C1279">
        <w:rPr>
          <w:rFonts w:cs="Times New Roman"/>
        </w:rPr>
        <w:t>] Laufer Y, Snyder-Mackler L. Response of male and female subjects after total knee arthroplasty to repeated neuromuscular electrical stimulation of the quadriceps femoris muscle. Am J Phys Med Rehabil 2010;89(6):464-472</w:t>
      </w:r>
    </w:p>
    <w:p w14:paraId="7D9485BC" w14:textId="77777777" w:rsidR="00C724D8" w:rsidRPr="003C1279" w:rsidRDefault="00C724D8" w:rsidP="003C1279">
      <w:pPr>
        <w:pStyle w:val="Standard"/>
        <w:autoSpaceDE w:val="0"/>
        <w:spacing w:line="276" w:lineRule="auto"/>
        <w:ind w:left="-90"/>
        <w:jc w:val="both"/>
        <w:rPr>
          <w:rFonts w:cs="Times New Roman"/>
        </w:rPr>
      </w:pPr>
    </w:p>
    <w:p w14:paraId="45DB79FA" w14:textId="77777777" w:rsidR="00C724D8" w:rsidRPr="003C1279" w:rsidRDefault="001B364B" w:rsidP="003C1279">
      <w:pPr>
        <w:pStyle w:val="Standard"/>
        <w:autoSpaceDE w:val="0"/>
        <w:spacing w:line="276" w:lineRule="auto"/>
        <w:ind w:left="-90"/>
        <w:jc w:val="both"/>
        <w:rPr>
          <w:rFonts w:cs="Times New Roman"/>
        </w:rPr>
      </w:pPr>
      <w:r w:rsidRPr="003C1279">
        <w:rPr>
          <w:rFonts w:cs="Times New Roman"/>
        </w:rPr>
        <w:t>27</w:t>
      </w:r>
      <w:r w:rsidR="00FD159B" w:rsidRPr="003C1279">
        <w:rPr>
          <w:rFonts w:cs="Times New Roman"/>
        </w:rPr>
        <w:t>] Lewek M, Stevens J, Snyder-Mackler L. The use of electrical stimulation to increase quadriceps femoris muscle force in an elderly patient following a total knee arhtroplasty. Phys Ther 2001;81:1565-1571</w:t>
      </w:r>
    </w:p>
    <w:p w14:paraId="0FE34F41" w14:textId="77777777" w:rsidR="00C724D8" w:rsidRPr="003C1279" w:rsidRDefault="00C724D8" w:rsidP="003C1279">
      <w:pPr>
        <w:pStyle w:val="Standard"/>
        <w:autoSpaceDE w:val="0"/>
        <w:spacing w:line="276" w:lineRule="auto"/>
        <w:ind w:left="-90"/>
        <w:jc w:val="both"/>
        <w:rPr>
          <w:rFonts w:cs="Times New Roman"/>
        </w:rPr>
      </w:pPr>
    </w:p>
    <w:p w14:paraId="1E642584" w14:textId="77777777" w:rsidR="00C724D8" w:rsidRPr="003C1279" w:rsidRDefault="001B364B" w:rsidP="003C1279">
      <w:pPr>
        <w:pStyle w:val="Standard"/>
        <w:autoSpaceDE w:val="0"/>
        <w:spacing w:line="276" w:lineRule="auto"/>
        <w:ind w:left="-90"/>
        <w:jc w:val="both"/>
        <w:rPr>
          <w:rFonts w:cs="Times New Roman"/>
        </w:rPr>
      </w:pPr>
      <w:r w:rsidRPr="003C1279">
        <w:rPr>
          <w:rFonts w:cs="Times New Roman"/>
        </w:rPr>
        <w:t>28</w:t>
      </w:r>
      <w:r w:rsidR="00FD159B" w:rsidRPr="003C1279">
        <w:rPr>
          <w:rFonts w:cs="Times New Roman"/>
        </w:rPr>
        <w:t>] Stevens J, Misner RL, Snyder-Mackler L. Neuromuscular electrical stimulation for quadriceps muscle strengthening after bilateral total knee arthroplasty: a case series.  J Orthop Sports Phys Ther 2004;34(1): 21-29</w:t>
      </w:r>
    </w:p>
    <w:p w14:paraId="02FFF593" w14:textId="77777777" w:rsidR="00C724D8" w:rsidRPr="003C1279" w:rsidRDefault="00C724D8" w:rsidP="003C1279">
      <w:pPr>
        <w:pStyle w:val="Standard"/>
        <w:autoSpaceDE w:val="0"/>
        <w:spacing w:line="276" w:lineRule="auto"/>
        <w:ind w:left="-90"/>
        <w:jc w:val="both"/>
        <w:rPr>
          <w:rFonts w:cs="Times New Roman"/>
        </w:rPr>
      </w:pPr>
    </w:p>
    <w:p w14:paraId="307CB9DB" w14:textId="77777777" w:rsidR="00C724D8" w:rsidRPr="003C1279" w:rsidRDefault="001B364B" w:rsidP="003C1279">
      <w:pPr>
        <w:pStyle w:val="Standard"/>
        <w:autoSpaceDE w:val="0"/>
        <w:spacing w:line="276" w:lineRule="auto"/>
        <w:ind w:left="-90"/>
        <w:jc w:val="both"/>
        <w:rPr>
          <w:rFonts w:cs="Times New Roman"/>
        </w:rPr>
      </w:pPr>
      <w:r w:rsidRPr="003C1279">
        <w:rPr>
          <w:rFonts w:cs="Times New Roman"/>
        </w:rPr>
        <w:t>29</w:t>
      </w:r>
      <w:r w:rsidR="00FD159B" w:rsidRPr="003C1279">
        <w:rPr>
          <w:rFonts w:cs="Times New Roman"/>
        </w:rPr>
        <w:t>] Walls RJ, McHugh G, O'Gorman DJ, Moyna NM, O'Byrne JM. Effects of preoperative neuromuscular electrical stimulation on quadriceps strength and functional recovery in total knee arthroplasty. A pilot study. BMC Musculoskelet Disord. 2010;14-11:119</w:t>
      </w:r>
    </w:p>
    <w:p w14:paraId="3BF2DBE8" w14:textId="53A058EF" w:rsidR="00C724D8" w:rsidRPr="003C1279" w:rsidRDefault="003C1279" w:rsidP="003C1279">
      <w:pPr>
        <w:pStyle w:val="Standard"/>
        <w:autoSpaceDE w:val="0"/>
        <w:spacing w:line="276" w:lineRule="auto"/>
        <w:ind w:left="-90"/>
        <w:jc w:val="both"/>
        <w:rPr>
          <w:rFonts w:cs="Times New Roman"/>
        </w:rPr>
      </w:pPr>
      <w:r w:rsidRPr="003C1279">
        <w:rPr>
          <w:rFonts w:cs="Times New Roman"/>
        </w:rPr>
        <w:br w:type="page"/>
      </w:r>
    </w:p>
    <w:p w14:paraId="18C7EA77" w14:textId="4290BDAF" w:rsidR="003C1279" w:rsidRDefault="003C1279" w:rsidP="003C1279">
      <w:pPr>
        <w:pStyle w:val="Standard"/>
        <w:autoSpaceDE w:val="0"/>
        <w:spacing w:line="480" w:lineRule="auto"/>
        <w:jc w:val="both"/>
        <w:rPr>
          <w:rFonts w:ascii="Arial" w:hAnsi="Arial" w:cs="Arial"/>
        </w:rPr>
      </w:pPr>
      <w:r w:rsidRPr="006F77D6">
        <w:rPr>
          <w:rFonts w:ascii="Arial" w:hAnsi="Arial" w:cs="Arial"/>
        </w:rPr>
        <w:t>Figure 1: The PRISMA flow diagram encapsulates the items assessed and the reasons for exclusions.</w:t>
      </w:r>
    </w:p>
    <w:p w14:paraId="45C9BB84" w14:textId="672B81BB" w:rsidR="003C1279" w:rsidRDefault="003C1279" w:rsidP="003C1279">
      <w:pPr>
        <w:pStyle w:val="Standard"/>
        <w:autoSpaceDE w:val="0"/>
        <w:spacing w:line="480" w:lineRule="auto"/>
        <w:jc w:val="both"/>
        <w:rPr>
          <w:rFonts w:ascii="Arial" w:hAnsi="Arial" w:cs="Arial"/>
        </w:rPr>
      </w:pPr>
    </w:p>
    <w:p w14:paraId="0B1CC76A" w14:textId="63359FA6" w:rsidR="003C1279" w:rsidRDefault="003C1279" w:rsidP="003C1279">
      <w:pPr>
        <w:pStyle w:val="Standard"/>
        <w:autoSpaceDE w:val="0"/>
        <w:spacing w:line="480" w:lineRule="auto"/>
        <w:jc w:val="both"/>
        <w:rPr>
          <w:rFonts w:ascii="Arial" w:hAnsi="Arial" w:cs="Arial"/>
        </w:rPr>
      </w:pPr>
      <w:r>
        <w:rPr>
          <w:rFonts w:ascii="Arial" w:hAnsi="Arial" w:cs="Arial"/>
          <w:noProof/>
        </w:rPr>
        <w:drawing>
          <wp:inline distT="0" distB="0" distL="0" distR="0" wp14:anchorId="7BB58CBE" wp14:editId="731E0F15">
            <wp:extent cx="4800600" cy="545782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0" cy="5457825"/>
                    </a:xfrm>
                    <a:prstGeom prst="rect">
                      <a:avLst/>
                    </a:prstGeom>
                    <a:noFill/>
                    <a:ln>
                      <a:noFill/>
                    </a:ln>
                  </pic:spPr>
                </pic:pic>
              </a:graphicData>
            </a:graphic>
          </wp:inline>
        </w:drawing>
      </w:r>
    </w:p>
    <w:p w14:paraId="487A992B" w14:textId="3B62ED84" w:rsidR="003C1279" w:rsidRDefault="003C1279" w:rsidP="003C1279">
      <w:pPr>
        <w:pStyle w:val="Standard"/>
        <w:autoSpaceDE w:val="0"/>
        <w:spacing w:line="480" w:lineRule="auto"/>
        <w:jc w:val="both"/>
        <w:rPr>
          <w:rFonts w:ascii="Arial" w:hAnsi="Arial" w:cs="Arial"/>
          <w:b/>
        </w:rPr>
      </w:pPr>
      <w:r>
        <w:rPr>
          <w:rFonts w:ascii="Arial" w:hAnsi="Arial" w:cs="Arial"/>
        </w:rPr>
        <w:br w:type="page"/>
      </w:r>
      <w:r>
        <w:rPr>
          <w:rFonts w:ascii="Arial" w:hAnsi="Arial" w:cs="Arial"/>
        </w:rPr>
        <w:lastRenderedPageBreak/>
        <w:t>Figure 2:</w:t>
      </w:r>
      <w:r w:rsidRPr="001E58DE">
        <w:rPr>
          <w:rFonts w:ascii="Arial" w:hAnsi="Arial" w:cs="Arial"/>
        </w:rPr>
        <w:t xml:space="preserve"> </w:t>
      </w:r>
      <w:r>
        <w:rPr>
          <w:rFonts w:ascii="Arial" w:hAnsi="Arial" w:cs="Arial"/>
        </w:rPr>
        <w:t xml:space="preserve">forest plot of the </w:t>
      </w:r>
      <w:r w:rsidRPr="00EF36EE">
        <w:rPr>
          <w:rFonts w:ascii="Arial" w:hAnsi="Arial" w:cs="Arial"/>
        </w:rPr>
        <w:t xml:space="preserve">Mental Component Score </w:t>
      </w:r>
      <w:r>
        <w:rPr>
          <w:rFonts w:ascii="Arial" w:hAnsi="Arial" w:cs="Arial"/>
        </w:rPr>
        <w:t>of the SF-36 at 12 weeks [</w:t>
      </w:r>
      <w:r w:rsidRPr="008B46A3">
        <w:rPr>
          <w:rFonts w:ascii="Arial" w:hAnsi="Arial" w:cs="Arial"/>
        </w:rPr>
        <w:t>I</w:t>
      </w:r>
      <w:r w:rsidRPr="001E58DE">
        <w:rPr>
          <w:rFonts w:ascii="Arial" w:hAnsi="Arial" w:cs="Arial"/>
          <w:vertAlign w:val="superscript"/>
        </w:rPr>
        <w:t>2</w:t>
      </w:r>
      <w:r w:rsidRPr="008B46A3">
        <w:rPr>
          <w:rFonts w:ascii="Arial" w:hAnsi="Arial" w:cs="Arial"/>
        </w:rPr>
        <w:t xml:space="preserve"> = </w:t>
      </w:r>
      <w:r>
        <w:rPr>
          <w:rFonts w:ascii="Arial" w:hAnsi="Arial" w:cs="Arial"/>
        </w:rPr>
        <w:t>6</w:t>
      </w:r>
      <w:r w:rsidRPr="008B46A3">
        <w:rPr>
          <w:rFonts w:ascii="Arial" w:hAnsi="Arial" w:cs="Arial"/>
        </w:rPr>
        <w:t>0</w:t>
      </w:r>
      <w:r>
        <w:rPr>
          <w:rFonts w:ascii="Arial" w:hAnsi="Arial" w:cs="Arial"/>
        </w:rPr>
        <w:t>.11% (</w:t>
      </w:r>
      <w:r w:rsidRPr="008B46A3">
        <w:rPr>
          <w:rFonts w:ascii="Arial" w:hAnsi="Arial" w:cs="Arial"/>
        </w:rPr>
        <w:t xml:space="preserve">Q statistics: </w:t>
      </w:r>
      <w:r>
        <w:rPr>
          <w:rFonts w:ascii="Arial" w:hAnsi="Arial" w:cs="Arial"/>
        </w:rPr>
        <w:t>8.11, pvalue: 0.04</w:t>
      </w:r>
      <w:r w:rsidRPr="008B46A3">
        <w:rPr>
          <w:rFonts w:ascii="Arial" w:hAnsi="Arial" w:cs="Arial"/>
        </w:rPr>
        <w:t>, meaning a significant heterogeneity)</w:t>
      </w:r>
      <w:r>
        <w:rPr>
          <w:rFonts w:ascii="Arial" w:hAnsi="Arial" w:cs="Arial"/>
        </w:rPr>
        <w:t xml:space="preserve">]. </w:t>
      </w:r>
      <w:r w:rsidRPr="002D7243">
        <w:rPr>
          <w:rFonts w:ascii="Arial" w:hAnsi="Arial" w:cs="Arial"/>
          <w:b/>
        </w:rPr>
        <w:t xml:space="preserve">Mean diff: mean difference; 95%CI: 95% Confidence Interval; </w:t>
      </w:r>
      <w:r>
        <w:rPr>
          <w:rFonts w:ascii="Arial" w:hAnsi="Arial" w:cs="Arial"/>
          <w:b/>
        </w:rPr>
        <w:t>R</w:t>
      </w:r>
      <w:r w:rsidRPr="002D7243">
        <w:rPr>
          <w:rFonts w:ascii="Arial" w:hAnsi="Arial" w:cs="Arial"/>
          <w:b/>
        </w:rPr>
        <w:t xml:space="preserve">E Model: </w:t>
      </w:r>
      <w:r>
        <w:rPr>
          <w:rFonts w:ascii="Arial" w:hAnsi="Arial" w:cs="Arial"/>
          <w:b/>
        </w:rPr>
        <w:t>Random</w:t>
      </w:r>
      <w:r w:rsidRPr="002D7243">
        <w:rPr>
          <w:rFonts w:ascii="Arial" w:hAnsi="Arial" w:cs="Arial"/>
          <w:b/>
        </w:rPr>
        <w:t>-effect Model; NME: Neuromuscular electrical stimulation; SF-36: 36-Item Short Form Health Survey</w:t>
      </w:r>
      <w:r>
        <w:rPr>
          <w:rFonts w:ascii="Arial" w:hAnsi="Arial" w:cs="Arial"/>
          <w:b/>
        </w:rPr>
        <w:t>.</w:t>
      </w:r>
    </w:p>
    <w:p w14:paraId="5D3EAECD" w14:textId="4D31EFB7" w:rsidR="003C1279" w:rsidRDefault="003C1279" w:rsidP="003C1279">
      <w:pPr>
        <w:pStyle w:val="Standard"/>
        <w:autoSpaceDE w:val="0"/>
        <w:spacing w:line="480" w:lineRule="auto"/>
        <w:jc w:val="both"/>
        <w:rPr>
          <w:rFonts w:ascii="Arial" w:hAnsi="Arial" w:cs="Arial"/>
          <w:b/>
        </w:rPr>
      </w:pPr>
      <w:r>
        <w:rPr>
          <w:rFonts w:ascii="Arial" w:hAnsi="Arial" w:cs="Arial"/>
          <w:b/>
          <w:noProof/>
        </w:rPr>
        <w:drawing>
          <wp:inline distT="0" distB="0" distL="0" distR="0" wp14:anchorId="21371D5C" wp14:editId="6866DCCF">
            <wp:extent cx="5534025" cy="43053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34025" cy="4305300"/>
                    </a:xfrm>
                    <a:prstGeom prst="rect">
                      <a:avLst/>
                    </a:prstGeom>
                    <a:noFill/>
                    <a:ln>
                      <a:noFill/>
                    </a:ln>
                  </pic:spPr>
                </pic:pic>
              </a:graphicData>
            </a:graphic>
          </wp:inline>
        </w:drawing>
      </w:r>
    </w:p>
    <w:p w14:paraId="446FE6C1" w14:textId="77777777" w:rsidR="003C1279" w:rsidRDefault="003C1279" w:rsidP="003C1279">
      <w:pPr>
        <w:pStyle w:val="Standard"/>
        <w:autoSpaceDE w:val="0"/>
        <w:spacing w:line="480" w:lineRule="auto"/>
        <w:jc w:val="both"/>
        <w:rPr>
          <w:rFonts w:ascii="Arial" w:hAnsi="Arial" w:cs="Arial"/>
        </w:rPr>
      </w:pPr>
    </w:p>
    <w:p w14:paraId="2252DA78" w14:textId="1B36422B" w:rsidR="003C1279" w:rsidRDefault="003C1279" w:rsidP="003C1279">
      <w:pPr>
        <w:pStyle w:val="Standard"/>
        <w:autoSpaceDE w:val="0"/>
        <w:spacing w:line="480" w:lineRule="auto"/>
        <w:jc w:val="both"/>
        <w:rPr>
          <w:rFonts w:ascii="Arial" w:hAnsi="Arial" w:cs="Arial"/>
          <w:b/>
        </w:rPr>
      </w:pPr>
      <w:r>
        <w:rPr>
          <w:rFonts w:ascii="Arial" w:hAnsi="Arial" w:cs="Arial"/>
        </w:rPr>
        <w:br w:type="page"/>
      </w:r>
      <w:r>
        <w:rPr>
          <w:rFonts w:ascii="Arial" w:hAnsi="Arial" w:cs="Arial"/>
        </w:rPr>
        <w:lastRenderedPageBreak/>
        <w:t xml:space="preserve">Figure 3: forest plot of the Physical Component Score of the SF-36 at 12 weeks </w:t>
      </w:r>
      <w:r w:rsidRPr="001E58DE">
        <w:rPr>
          <w:rFonts w:ascii="Arial" w:hAnsi="Arial" w:cs="Arial"/>
        </w:rPr>
        <w:t>[I</w:t>
      </w:r>
      <w:r w:rsidRPr="001E58DE">
        <w:rPr>
          <w:rFonts w:ascii="Arial" w:hAnsi="Arial" w:cs="Arial"/>
          <w:vertAlign w:val="superscript"/>
        </w:rPr>
        <w:t>2</w:t>
      </w:r>
      <w:r>
        <w:rPr>
          <w:rFonts w:ascii="Arial" w:hAnsi="Arial" w:cs="Arial"/>
        </w:rPr>
        <w:t xml:space="preserve"> = 60.65% (</w:t>
      </w:r>
      <w:r w:rsidRPr="001E58DE">
        <w:rPr>
          <w:rFonts w:ascii="Arial" w:hAnsi="Arial" w:cs="Arial"/>
        </w:rPr>
        <w:t>Q statistics</w:t>
      </w:r>
      <w:r>
        <w:rPr>
          <w:rFonts w:ascii="Arial" w:hAnsi="Arial" w:cs="Arial"/>
        </w:rPr>
        <w:t xml:space="preserve">: 8.20, pvalue: </w:t>
      </w:r>
      <w:r w:rsidRPr="001E58DE">
        <w:rPr>
          <w:rFonts w:ascii="Arial" w:hAnsi="Arial" w:cs="Arial"/>
        </w:rPr>
        <w:t xml:space="preserve"> </w:t>
      </w:r>
      <w:r>
        <w:rPr>
          <w:rFonts w:ascii="Arial" w:hAnsi="Arial" w:cs="Arial"/>
        </w:rPr>
        <w:t>0.04</w:t>
      </w:r>
      <w:r w:rsidRPr="001E58DE">
        <w:rPr>
          <w:rFonts w:ascii="Arial" w:hAnsi="Arial" w:cs="Arial"/>
        </w:rPr>
        <w:t>, meaning a significant heterogeneity)]</w:t>
      </w:r>
      <w:r>
        <w:rPr>
          <w:rFonts w:ascii="Arial" w:hAnsi="Arial" w:cs="Arial"/>
        </w:rPr>
        <w:t xml:space="preserve">. </w:t>
      </w:r>
      <w:r w:rsidRPr="002D7243">
        <w:rPr>
          <w:rFonts w:ascii="Arial" w:hAnsi="Arial" w:cs="Arial"/>
          <w:b/>
        </w:rPr>
        <w:t>Mean diff: mean difference; 9</w:t>
      </w:r>
      <w:r>
        <w:rPr>
          <w:rFonts w:ascii="Arial" w:hAnsi="Arial" w:cs="Arial"/>
          <w:b/>
        </w:rPr>
        <w:t>5%CI: 95% Confidence Interval; R</w:t>
      </w:r>
      <w:r w:rsidRPr="002D7243">
        <w:rPr>
          <w:rFonts w:ascii="Arial" w:hAnsi="Arial" w:cs="Arial"/>
          <w:b/>
        </w:rPr>
        <w:t xml:space="preserve">E Model: </w:t>
      </w:r>
      <w:r>
        <w:rPr>
          <w:rFonts w:ascii="Arial" w:hAnsi="Arial" w:cs="Arial"/>
          <w:b/>
        </w:rPr>
        <w:t>Random</w:t>
      </w:r>
      <w:r w:rsidRPr="002D7243">
        <w:rPr>
          <w:rFonts w:ascii="Arial" w:hAnsi="Arial" w:cs="Arial"/>
          <w:b/>
        </w:rPr>
        <w:t>-effect Model; NME: Neuromuscular electrical stimulation; SF-36: 36-Item Short Form Health Survey</w:t>
      </w:r>
      <w:r>
        <w:rPr>
          <w:rFonts w:ascii="Arial" w:hAnsi="Arial" w:cs="Arial"/>
          <w:b/>
        </w:rPr>
        <w:t>.</w:t>
      </w:r>
    </w:p>
    <w:p w14:paraId="0B952312" w14:textId="736F2CE6" w:rsidR="003C1279" w:rsidRDefault="003C1279" w:rsidP="003C1279">
      <w:pPr>
        <w:pStyle w:val="Standard"/>
        <w:autoSpaceDE w:val="0"/>
        <w:spacing w:line="480" w:lineRule="auto"/>
        <w:jc w:val="both"/>
        <w:rPr>
          <w:rFonts w:ascii="Arial" w:hAnsi="Arial" w:cs="Arial"/>
          <w:b/>
        </w:rPr>
      </w:pPr>
    </w:p>
    <w:p w14:paraId="0B1A58B6" w14:textId="7DD8C73C" w:rsidR="003C1279" w:rsidRDefault="003C1279" w:rsidP="003C1279">
      <w:pPr>
        <w:pStyle w:val="Standard"/>
        <w:autoSpaceDE w:val="0"/>
        <w:spacing w:line="480" w:lineRule="auto"/>
        <w:jc w:val="both"/>
        <w:rPr>
          <w:rFonts w:ascii="Arial" w:hAnsi="Arial" w:cs="Arial"/>
        </w:rPr>
      </w:pPr>
      <w:bookmarkStart w:id="1" w:name="_GoBack"/>
      <w:bookmarkEnd w:id="1"/>
      <w:r>
        <w:rPr>
          <w:rFonts w:ascii="Arial" w:hAnsi="Arial" w:cs="Arial"/>
          <w:b/>
          <w:noProof/>
        </w:rPr>
        <w:drawing>
          <wp:inline distT="0" distB="0" distL="0" distR="0" wp14:anchorId="0C88CA48" wp14:editId="0B5603B4">
            <wp:extent cx="5534025" cy="430530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34025" cy="4305300"/>
                    </a:xfrm>
                    <a:prstGeom prst="rect">
                      <a:avLst/>
                    </a:prstGeom>
                    <a:noFill/>
                    <a:ln>
                      <a:noFill/>
                    </a:ln>
                  </pic:spPr>
                </pic:pic>
              </a:graphicData>
            </a:graphic>
          </wp:inline>
        </w:drawing>
      </w:r>
    </w:p>
    <w:p w14:paraId="15779E87" w14:textId="4A4D7680" w:rsidR="003C1279" w:rsidRPr="003C1279" w:rsidRDefault="003C1279" w:rsidP="003C1279">
      <w:pPr>
        <w:spacing w:line="276" w:lineRule="auto"/>
        <w:ind w:left="-90"/>
        <w:rPr>
          <w:rFonts w:cs="Times New Roman"/>
        </w:rPr>
      </w:pPr>
      <w:r>
        <w:rPr>
          <w:rFonts w:cs="Times New Roman"/>
        </w:rPr>
        <w:br w:type="page"/>
      </w:r>
      <w:r w:rsidRPr="003C1279">
        <w:rPr>
          <w:rFonts w:cs="Times New Roman"/>
        </w:rPr>
        <w:lastRenderedPageBreak/>
        <w:t>Table 1. Inclusion criteria</w:t>
      </w:r>
    </w:p>
    <w:p w14:paraId="29095DBD" w14:textId="77777777" w:rsidR="003C1279" w:rsidRPr="003C1279" w:rsidRDefault="003C1279" w:rsidP="003C1279">
      <w:pPr>
        <w:spacing w:line="276" w:lineRule="auto"/>
        <w:ind w:left="-90"/>
        <w:rPr>
          <w:rFonts w:cs="Times New Roman"/>
        </w:rPr>
      </w:pPr>
    </w:p>
    <w:p w14:paraId="675DD414" w14:textId="77777777" w:rsidR="003C1279" w:rsidRPr="003C1279" w:rsidRDefault="003C1279" w:rsidP="003C1279">
      <w:pPr>
        <w:spacing w:line="276" w:lineRule="auto"/>
        <w:ind w:left="-90"/>
        <w:rPr>
          <w:rFonts w:cs="Times New Roman"/>
        </w:rPr>
      </w:pPr>
    </w:p>
    <w:tbl>
      <w:tblPr>
        <w:tblW w:w="7937" w:type="dxa"/>
        <w:tblInd w:w="-13" w:type="dxa"/>
        <w:tblLayout w:type="fixed"/>
        <w:tblCellMar>
          <w:left w:w="10" w:type="dxa"/>
          <w:right w:w="10" w:type="dxa"/>
        </w:tblCellMar>
        <w:tblLook w:val="0000" w:firstRow="0" w:lastRow="0" w:firstColumn="0" w:lastColumn="0" w:noHBand="0" w:noVBand="0"/>
      </w:tblPr>
      <w:tblGrid>
        <w:gridCol w:w="1605"/>
        <w:gridCol w:w="3166"/>
        <w:gridCol w:w="3166"/>
      </w:tblGrid>
      <w:tr w:rsidR="003C1279" w:rsidRPr="003C1279" w14:paraId="359905A0" w14:textId="77777777" w:rsidTr="00251991">
        <w:tc>
          <w:tcPr>
            <w:tcW w:w="1605" w:type="dxa"/>
            <w:tcBorders>
              <w:top w:val="single" w:sz="2" w:space="0" w:color="000000"/>
              <w:left w:val="single" w:sz="2" w:space="0" w:color="000000"/>
              <w:bottom w:val="single" w:sz="2" w:space="0" w:color="000000"/>
            </w:tcBorders>
            <w:tcMar>
              <w:top w:w="55" w:type="dxa"/>
              <w:left w:w="55" w:type="dxa"/>
              <w:bottom w:w="55" w:type="dxa"/>
              <w:right w:w="55" w:type="dxa"/>
            </w:tcMar>
          </w:tcPr>
          <w:p w14:paraId="159DFADB" w14:textId="77777777" w:rsidR="003C1279" w:rsidRPr="003C1279" w:rsidRDefault="003C1279" w:rsidP="003C1279">
            <w:pPr>
              <w:pStyle w:val="TableContents"/>
              <w:spacing w:line="276" w:lineRule="auto"/>
              <w:ind w:left="-90"/>
              <w:rPr>
                <w:rFonts w:cs="Times New Roman"/>
              </w:rPr>
            </w:pPr>
          </w:p>
        </w:tc>
        <w:tc>
          <w:tcPr>
            <w:tcW w:w="3166" w:type="dxa"/>
            <w:tcBorders>
              <w:top w:val="single" w:sz="2" w:space="0" w:color="000000"/>
              <w:left w:val="single" w:sz="2" w:space="0" w:color="000000"/>
              <w:bottom w:val="single" w:sz="2" w:space="0" w:color="000000"/>
            </w:tcBorders>
            <w:tcMar>
              <w:top w:w="55" w:type="dxa"/>
              <w:left w:w="55" w:type="dxa"/>
              <w:bottom w:w="55" w:type="dxa"/>
              <w:right w:w="55" w:type="dxa"/>
            </w:tcMar>
          </w:tcPr>
          <w:p w14:paraId="68AD5323" w14:textId="77777777" w:rsidR="003C1279" w:rsidRPr="003C1279" w:rsidRDefault="003C1279" w:rsidP="003C1279">
            <w:pPr>
              <w:pStyle w:val="TableContents"/>
              <w:spacing w:line="276" w:lineRule="auto"/>
              <w:ind w:left="-90"/>
              <w:rPr>
                <w:rFonts w:cs="Times New Roman"/>
                <w:b/>
                <w:bCs/>
              </w:rPr>
            </w:pPr>
            <w:r w:rsidRPr="003C1279">
              <w:rPr>
                <w:rFonts w:cs="Times New Roman"/>
                <w:b/>
                <w:bCs/>
              </w:rPr>
              <w:t>Inclusion criteria</w:t>
            </w:r>
          </w:p>
        </w:tc>
        <w:tc>
          <w:tcPr>
            <w:tcW w:w="316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C5B4CAA" w14:textId="77777777" w:rsidR="003C1279" w:rsidRPr="003C1279" w:rsidRDefault="003C1279" w:rsidP="003C1279">
            <w:pPr>
              <w:pStyle w:val="TableContents"/>
              <w:spacing w:line="276" w:lineRule="auto"/>
              <w:ind w:left="-90"/>
              <w:rPr>
                <w:rFonts w:cs="Times New Roman"/>
                <w:b/>
                <w:bCs/>
              </w:rPr>
            </w:pPr>
            <w:r w:rsidRPr="003C1279">
              <w:rPr>
                <w:rFonts w:cs="Times New Roman"/>
                <w:b/>
                <w:bCs/>
              </w:rPr>
              <w:t>exclusion criteria</w:t>
            </w:r>
          </w:p>
        </w:tc>
      </w:tr>
      <w:tr w:rsidR="003C1279" w:rsidRPr="003C1279" w14:paraId="2454F825" w14:textId="77777777" w:rsidTr="00251991">
        <w:tc>
          <w:tcPr>
            <w:tcW w:w="1605" w:type="dxa"/>
            <w:tcBorders>
              <w:left w:val="single" w:sz="2" w:space="0" w:color="000000"/>
              <w:bottom w:val="single" w:sz="2" w:space="0" w:color="000000"/>
            </w:tcBorders>
            <w:tcMar>
              <w:top w:w="55" w:type="dxa"/>
              <w:left w:w="55" w:type="dxa"/>
              <w:bottom w:w="55" w:type="dxa"/>
              <w:right w:w="55" w:type="dxa"/>
            </w:tcMar>
          </w:tcPr>
          <w:p w14:paraId="4A79AC3B" w14:textId="77777777" w:rsidR="003C1279" w:rsidRPr="003C1279" w:rsidRDefault="003C1279" w:rsidP="003C1279">
            <w:pPr>
              <w:pStyle w:val="TableContents"/>
              <w:spacing w:line="276" w:lineRule="auto"/>
              <w:ind w:left="-90"/>
              <w:rPr>
                <w:rFonts w:cs="Times New Roman"/>
              </w:rPr>
            </w:pPr>
            <w:r w:rsidRPr="003C1279">
              <w:rPr>
                <w:rFonts w:cs="Times New Roman"/>
              </w:rPr>
              <w:t>Patients</w:t>
            </w:r>
          </w:p>
        </w:tc>
        <w:tc>
          <w:tcPr>
            <w:tcW w:w="3166" w:type="dxa"/>
            <w:tcBorders>
              <w:left w:val="single" w:sz="2" w:space="0" w:color="000000"/>
              <w:bottom w:val="single" w:sz="2" w:space="0" w:color="000000"/>
            </w:tcBorders>
            <w:tcMar>
              <w:top w:w="55" w:type="dxa"/>
              <w:left w:w="55" w:type="dxa"/>
              <w:bottom w:w="55" w:type="dxa"/>
              <w:right w:w="55" w:type="dxa"/>
            </w:tcMar>
          </w:tcPr>
          <w:p w14:paraId="38D13CDC" w14:textId="77777777" w:rsidR="003C1279" w:rsidRPr="003C1279" w:rsidRDefault="003C1279" w:rsidP="003C1279">
            <w:pPr>
              <w:pStyle w:val="TableContents"/>
              <w:spacing w:line="276" w:lineRule="auto"/>
              <w:ind w:left="-90"/>
              <w:rPr>
                <w:rFonts w:cs="Times New Roman"/>
              </w:rPr>
            </w:pPr>
            <w:r w:rsidRPr="003C1279">
              <w:rPr>
                <w:rFonts w:cs="Times New Roman"/>
              </w:rPr>
              <w:t>patients of both sexes with at least 18 years old who underwent unilateral PTG</w:t>
            </w:r>
          </w:p>
        </w:tc>
        <w:tc>
          <w:tcPr>
            <w:tcW w:w="3166" w:type="dxa"/>
            <w:tcBorders>
              <w:left w:val="single" w:sz="2" w:space="0" w:color="000000"/>
              <w:bottom w:val="single" w:sz="2" w:space="0" w:color="000000"/>
              <w:right w:val="single" w:sz="2" w:space="0" w:color="000000"/>
            </w:tcBorders>
            <w:tcMar>
              <w:top w:w="55" w:type="dxa"/>
              <w:left w:w="55" w:type="dxa"/>
              <w:bottom w:w="55" w:type="dxa"/>
              <w:right w:w="55" w:type="dxa"/>
            </w:tcMar>
          </w:tcPr>
          <w:p w14:paraId="4E188D34" w14:textId="77777777" w:rsidR="003C1279" w:rsidRPr="003C1279" w:rsidRDefault="003C1279" w:rsidP="003C1279">
            <w:pPr>
              <w:pStyle w:val="TableContents"/>
              <w:spacing w:line="276" w:lineRule="auto"/>
              <w:ind w:left="-90"/>
              <w:rPr>
                <w:rFonts w:cs="Times New Roman"/>
              </w:rPr>
            </w:pPr>
            <w:r w:rsidRPr="003C1279">
              <w:rPr>
                <w:rFonts w:cs="Times New Roman"/>
              </w:rPr>
              <w:t>• patients younger than 18 years</w:t>
            </w:r>
          </w:p>
          <w:p w14:paraId="1EEDD018" w14:textId="77777777" w:rsidR="003C1279" w:rsidRPr="003C1279" w:rsidRDefault="003C1279" w:rsidP="003C1279">
            <w:pPr>
              <w:pStyle w:val="TableContents"/>
              <w:spacing w:line="276" w:lineRule="auto"/>
              <w:ind w:left="-90"/>
              <w:rPr>
                <w:rFonts w:cs="Times New Roman"/>
              </w:rPr>
            </w:pPr>
            <w:r w:rsidRPr="003C1279">
              <w:rPr>
                <w:rFonts w:cs="Times New Roman"/>
              </w:rPr>
              <w:t>- bilateral TKA</w:t>
            </w:r>
          </w:p>
        </w:tc>
      </w:tr>
      <w:tr w:rsidR="003C1279" w:rsidRPr="003C1279" w14:paraId="65CDFE3A" w14:textId="77777777" w:rsidTr="00251991">
        <w:tc>
          <w:tcPr>
            <w:tcW w:w="1605" w:type="dxa"/>
            <w:tcBorders>
              <w:left w:val="single" w:sz="2" w:space="0" w:color="000000"/>
              <w:bottom w:val="single" w:sz="2" w:space="0" w:color="000000"/>
            </w:tcBorders>
            <w:tcMar>
              <w:top w:w="55" w:type="dxa"/>
              <w:left w:w="55" w:type="dxa"/>
              <w:bottom w:w="55" w:type="dxa"/>
              <w:right w:w="55" w:type="dxa"/>
            </w:tcMar>
          </w:tcPr>
          <w:p w14:paraId="6AC06B98" w14:textId="77777777" w:rsidR="003C1279" w:rsidRPr="003C1279" w:rsidRDefault="003C1279" w:rsidP="003C1279">
            <w:pPr>
              <w:pStyle w:val="TableContents"/>
              <w:spacing w:line="276" w:lineRule="auto"/>
              <w:ind w:left="-90"/>
              <w:rPr>
                <w:rFonts w:cs="Times New Roman"/>
              </w:rPr>
            </w:pPr>
            <w:r w:rsidRPr="003C1279">
              <w:rPr>
                <w:rFonts w:cs="Times New Roman"/>
              </w:rPr>
              <w:t>Intervention</w:t>
            </w:r>
          </w:p>
        </w:tc>
        <w:tc>
          <w:tcPr>
            <w:tcW w:w="3166" w:type="dxa"/>
            <w:tcBorders>
              <w:left w:val="single" w:sz="2" w:space="0" w:color="000000"/>
              <w:bottom w:val="single" w:sz="2" w:space="0" w:color="000000"/>
            </w:tcBorders>
            <w:tcMar>
              <w:top w:w="55" w:type="dxa"/>
              <w:left w:w="55" w:type="dxa"/>
              <w:bottom w:w="55" w:type="dxa"/>
              <w:right w:w="55" w:type="dxa"/>
            </w:tcMar>
          </w:tcPr>
          <w:p w14:paraId="72ECA359" w14:textId="77777777" w:rsidR="003C1279" w:rsidRPr="003C1279" w:rsidRDefault="003C1279" w:rsidP="003C1279">
            <w:pPr>
              <w:pStyle w:val="TableContents"/>
              <w:spacing w:line="276" w:lineRule="auto"/>
              <w:ind w:left="-90"/>
              <w:rPr>
                <w:rFonts w:cs="Times New Roman"/>
              </w:rPr>
            </w:pPr>
            <w:r w:rsidRPr="003C1279">
              <w:rPr>
                <w:rFonts w:cs="Times New Roman"/>
              </w:rPr>
              <w:t>• traditional rehabilitation + post operatory  NMES (4 weeks)</w:t>
            </w:r>
          </w:p>
        </w:tc>
        <w:tc>
          <w:tcPr>
            <w:tcW w:w="3166" w:type="dxa"/>
            <w:tcBorders>
              <w:left w:val="single" w:sz="2" w:space="0" w:color="000000"/>
              <w:bottom w:val="single" w:sz="2" w:space="0" w:color="000000"/>
              <w:right w:val="single" w:sz="2" w:space="0" w:color="000000"/>
            </w:tcBorders>
            <w:tcMar>
              <w:top w:w="55" w:type="dxa"/>
              <w:left w:w="55" w:type="dxa"/>
              <w:bottom w:w="55" w:type="dxa"/>
              <w:right w:w="55" w:type="dxa"/>
            </w:tcMar>
          </w:tcPr>
          <w:p w14:paraId="7B437435" w14:textId="77777777" w:rsidR="003C1279" w:rsidRPr="003C1279" w:rsidRDefault="003C1279" w:rsidP="003C1279">
            <w:pPr>
              <w:pStyle w:val="TableContents"/>
              <w:spacing w:line="276" w:lineRule="auto"/>
              <w:ind w:left="-90"/>
              <w:rPr>
                <w:rFonts w:cs="Times New Roman"/>
              </w:rPr>
            </w:pPr>
            <w:r w:rsidRPr="003C1279">
              <w:rPr>
                <w:rFonts w:cs="Times New Roman"/>
              </w:rPr>
              <w:t>• pre-operatory NMES and not post-operatory</w:t>
            </w:r>
          </w:p>
        </w:tc>
      </w:tr>
      <w:tr w:rsidR="003C1279" w:rsidRPr="003C1279" w14:paraId="05DD6A09" w14:textId="77777777" w:rsidTr="00251991">
        <w:tc>
          <w:tcPr>
            <w:tcW w:w="1605" w:type="dxa"/>
            <w:tcBorders>
              <w:left w:val="single" w:sz="2" w:space="0" w:color="000000"/>
              <w:bottom w:val="single" w:sz="2" w:space="0" w:color="000000"/>
            </w:tcBorders>
            <w:tcMar>
              <w:top w:w="55" w:type="dxa"/>
              <w:left w:w="55" w:type="dxa"/>
              <w:bottom w:w="55" w:type="dxa"/>
              <w:right w:w="55" w:type="dxa"/>
            </w:tcMar>
          </w:tcPr>
          <w:p w14:paraId="2A9EE358" w14:textId="77777777" w:rsidR="003C1279" w:rsidRPr="003C1279" w:rsidRDefault="003C1279" w:rsidP="003C1279">
            <w:pPr>
              <w:pStyle w:val="TableContents"/>
              <w:spacing w:line="276" w:lineRule="auto"/>
              <w:ind w:left="-90"/>
              <w:rPr>
                <w:rFonts w:cs="Times New Roman"/>
              </w:rPr>
            </w:pPr>
            <w:r w:rsidRPr="003C1279">
              <w:rPr>
                <w:rFonts w:cs="Times New Roman"/>
              </w:rPr>
              <w:t>Comparator</w:t>
            </w:r>
          </w:p>
        </w:tc>
        <w:tc>
          <w:tcPr>
            <w:tcW w:w="3166" w:type="dxa"/>
            <w:tcBorders>
              <w:left w:val="single" w:sz="2" w:space="0" w:color="000000"/>
              <w:bottom w:val="single" w:sz="2" w:space="0" w:color="000000"/>
            </w:tcBorders>
            <w:tcMar>
              <w:top w:w="55" w:type="dxa"/>
              <w:left w:w="55" w:type="dxa"/>
              <w:bottom w:w="55" w:type="dxa"/>
              <w:right w:w="55" w:type="dxa"/>
            </w:tcMar>
          </w:tcPr>
          <w:p w14:paraId="2C846C81" w14:textId="77777777" w:rsidR="003C1279" w:rsidRPr="003C1279" w:rsidRDefault="003C1279" w:rsidP="003C1279">
            <w:pPr>
              <w:pStyle w:val="TableContents"/>
              <w:spacing w:line="276" w:lineRule="auto"/>
              <w:ind w:left="-90"/>
              <w:rPr>
                <w:rFonts w:cs="Times New Roman"/>
              </w:rPr>
            </w:pPr>
            <w:r w:rsidRPr="003C1279">
              <w:rPr>
                <w:rFonts w:cs="Times New Roman"/>
              </w:rPr>
              <w:t xml:space="preserve"> traditional rehabilitation</w:t>
            </w:r>
          </w:p>
        </w:tc>
        <w:tc>
          <w:tcPr>
            <w:tcW w:w="3166" w:type="dxa"/>
            <w:tcBorders>
              <w:left w:val="single" w:sz="2" w:space="0" w:color="000000"/>
              <w:bottom w:val="single" w:sz="2" w:space="0" w:color="000000"/>
              <w:right w:val="single" w:sz="2" w:space="0" w:color="000000"/>
            </w:tcBorders>
            <w:tcMar>
              <w:top w:w="55" w:type="dxa"/>
              <w:left w:w="55" w:type="dxa"/>
              <w:bottom w:w="55" w:type="dxa"/>
              <w:right w:w="55" w:type="dxa"/>
            </w:tcMar>
          </w:tcPr>
          <w:p w14:paraId="6F4359EA" w14:textId="77777777" w:rsidR="003C1279" w:rsidRPr="003C1279" w:rsidRDefault="003C1279" w:rsidP="003C1279">
            <w:pPr>
              <w:pStyle w:val="TableContents"/>
              <w:spacing w:line="276" w:lineRule="auto"/>
              <w:ind w:left="-90"/>
              <w:rPr>
                <w:rFonts w:cs="Times New Roman"/>
              </w:rPr>
            </w:pPr>
          </w:p>
        </w:tc>
      </w:tr>
      <w:tr w:rsidR="003C1279" w:rsidRPr="003C1279" w14:paraId="48980302" w14:textId="77777777" w:rsidTr="00251991">
        <w:tc>
          <w:tcPr>
            <w:tcW w:w="1605" w:type="dxa"/>
            <w:tcBorders>
              <w:left w:val="single" w:sz="2" w:space="0" w:color="000000"/>
              <w:bottom w:val="single" w:sz="2" w:space="0" w:color="000000"/>
            </w:tcBorders>
            <w:tcMar>
              <w:top w:w="55" w:type="dxa"/>
              <w:left w:w="55" w:type="dxa"/>
              <w:bottom w:w="55" w:type="dxa"/>
              <w:right w:w="55" w:type="dxa"/>
            </w:tcMar>
          </w:tcPr>
          <w:p w14:paraId="1A3990D9" w14:textId="77777777" w:rsidR="003C1279" w:rsidRPr="003C1279" w:rsidRDefault="003C1279" w:rsidP="003C1279">
            <w:pPr>
              <w:pStyle w:val="TableContents"/>
              <w:spacing w:line="276" w:lineRule="auto"/>
              <w:ind w:left="-90"/>
              <w:rPr>
                <w:rFonts w:cs="Times New Roman"/>
              </w:rPr>
            </w:pPr>
            <w:r w:rsidRPr="003C1279">
              <w:rPr>
                <w:rFonts w:cs="Times New Roman"/>
              </w:rPr>
              <w:t>Outcome</w:t>
            </w:r>
          </w:p>
        </w:tc>
        <w:tc>
          <w:tcPr>
            <w:tcW w:w="3166" w:type="dxa"/>
            <w:tcBorders>
              <w:left w:val="single" w:sz="2" w:space="0" w:color="000000"/>
              <w:bottom w:val="single" w:sz="2" w:space="0" w:color="000000"/>
            </w:tcBorders>
            <w:tcMar>
              <w:top w:w="55" w:type="dxa"/>
              <w:left w:w="55" w:type="dxa"/>
              <w:bottom w:w="55" w:type="dxa"/>
              <w:right w:w="55" w:type="dxa"/>
            </w:tcMar>
          </w:tcPr>
          <w:p w14:paraId="2D768370" w14:textId="77777777" w:rsidR="003C1279" w:rsidRPr="003C1279" w:rsidRDefault="003C1279" w:rsidP="003C1279">
            <w:pPr>
              <w:pStyle w:val="TableContents"/>
              <w:spacing w:line="276" w:lineRule="auto"/>
              <w:ind w:left="-90"/>
              <w:rPr>
                <w:rFonts w:cs="Times New Roman"/>
              </w:rPr>
            </w:pPr>
            <w:r w:rsidRPr="003C1279">
              <w:rPr>
                <w:rFonts w:cs="Times New Roman"/>
              </w:rPr>
              <w:t>•studies with clinical outcome clearly defined "a priori"</w:t>
            </w:r>
          </w:p>
        </w:tc>
        <w:tc>
          <w:tcPr>
            <w:tcW w:w="3166" w:type="dxa"/>
            <w:tcBorders>
              <w:left w:val="single" w:sz="2" w:space="0" w:color="000000"/>
              <w:bottom w:val="single" w:sz="2" w:space="0" w:color="000000"/>
              <w:right w:val="single" w:sz="2" w:space="0" w:color="000000"/>
            </w:tcBorders>
            <w:tcMar>
              <w:top w:w="55" w:type="dxa"/>
              <w:left w:w="55" w:type="dxa"/>
              <w:bottom w:w="55" w:type="dxa"/>
              <w:right w:w="55" w:type="dxa"/>
            </w:tcMar>
          </w:tcPr>
          <w:p w14:paraId="369D38C7" w14:textId="77777777" w:rsidR="003C1279" w:rsidRPr="003C1279" w:rsidRDefault="003C1279" w:rsidP="003C1279">
            <w:pPr>
              <w:pStyle w:val="TableContents"/>
              <w:spacing w:line="276" w:lineRule="auto"/>
              <w:ind w:left="-90"/>
              <w:rPr>
                <w:rFonts w:cs="Times New Roman"/>
              </w:rPr>
            </w:pPr>
            <w:r w:rsidRPr="003C1279">
              <w:rPr>
                <w:rFonts w:cs="Times New Roman"/>
              </w:rPr>
              <w:t>•studies without clinical outcome clearly defined "a priori"</w:t>
            </w:r>
          </w:p>
        </w:tc>
      </w:tr>
      <w:tr w:rsidR="003C1279" w:rsidRPr="003C1279" w14:paraId="67C900BA" w14:textId="77777777" w:rsidTr="00251991">
        <w:tc>
          <w:tcPr>
            <w:tcW w:w="1605" w:type="dxa"/>
            <w:tcBorders>
              <w:left w:val="single" w:sz="2" w:space="0" w:color="000000"/>
              <w:bottom w:val="single" w:sz="2" w:space="0" w:color="000000"/>
            </w:tcBorders>
            <w:tcMar>
              <w:top w:w="55" w:type="dxa"/>
              <w:left w:w="55" w:type="dxa"/>
              <w:bottom w:w="55" w:type="dxa"/>
              <w:right w:w="55" w:type="dxa"/>
            </w:tcMar>
          </w:tcPr>
          <w:p w14:paraId="0AB83FF8" w14:textId="77777777" w:rsidR="003C1279" w:rsidRPr="003C1279" w:rsidRDefault="003C1279" w:rsidP="003C1279">
            <w:pPr>
              <w:pStyle w:val="TableContents"/>
              <w:spacing w:line="276" w:lineRule="auto"/>
              <w:ind w:left="-90"/>
              <w:rPr>
                <w:rFonts w:cs="Times New Roman"/>
              </w:rPr>
            </w:pPr>
            <w:r w:rsidRPr="003C1279">
              <w:rPr>
                <w:rFonts w:cs="Times New Roman"/>
              </w:rPr>
              <w:t>Study Design</w:t>
            </w:r>
          </w:p>
        </w:tc>
        <w:tc>
          <w:tcPr>
            <w:tcW w:w="3166" w:type="dxa"/>
            <w:tcBorders>
              <w:left w:val="single" w:sz="2" w:space="0" w:color="000000"/>
              <w:bottom w:val="single" w:sz="2" w:space="0" w:color="000000"/>
            </w:tcBorders>
            <w:tcMar>
              <w:top w:w="55" w:type="dxa"/>
              <w:left w:w="55" w:type="dxa"/>
              <w:bottom w:w="55" w:type="dxa"/>
              <w:right w:w="55" w:type="dxa"/>
            </w:tcMar>
          </w:tcPr>
          <w:p w14:paraId="597AB135" w14:textId="77777777" w:rsidR="003C1279" w:rsidRPr="003C1279" w:rsidRDefault="003C1279" w:rsidP="003C1279">
            <w:pPr>
              <w:pStyle w:val="TableContents"/>
              <w:spacing w:line="276" w:lineRule="auto"/>
              <w:ind w:left="-90"/>
              <w:rPr>
                <w:rFonts w:cs="Times New Roman"/>
              </w:rPr>
            </w:pPr>
            <w:r w:rsidRPr="003C1279">
              <w:rPr>
                <w:rFonts w:cs="Times New Roman"/>
              </w:rPr>
              <w:t>Controlled randomized studies</w:t>
            </w:r>
            <w:r w:rsidRPr="003C1279">
              <w:rPr>
                <w:rFonts w:cs="Times New Roman"/>
              </w:rPr>
              <w:br/>
            </w:r>
          </w:p>
        </w:tc>
        <w:tc>
          <w:tcPr>
            <w:tcW w:w="3166" w:type="dxa"/>
            <w:tcBorders>
              <w:left w:val="single" w:sz="2" w:space="0" w:color="000000"/>
              <w:bottom w:val="single" w:sz="2" w:space="0" w:color="000000"/>
              <w:right w:val="single" w:sz="2" w:space="0" w:color="000000"/>
            </w:tcBorders>
            <w:tcMar>
              <w:top w:w="55" w:type="dxa"/>
              <w:left w:w="55" w:type="dxa"/>
              <w:bottom w:w="55" w:type="dxa"/>
              <w:right w:w="55" w:type="dxa"/>
            </w:tcMar>
          </w:tcPr>
          <w:p w14:paraId="52ED2D39" w14:textId="77777777" w:rsidR="003C1279" w:rsidRPr="003C1279" w:rsidRDefault="003C1279" w:rsidP="003C1279">
            <w:pPr>
              <w:pStyle w:val="TableContents"/>
              <w:spacing w:line="276" w:lineRule="auto"/>
              <w:ind w:left="-90"/>
              <w:rPr>
                <w:rFonts w:cs="Times New Roman"/>
              </w:rPr>
            </w:pPr>
            <w:r w:rsidRPr="003C1279">
              <w:rPr>
                <w:rFonts w:cs="Times New Roman"/>
              </w:rPr>
              <w:t>- Controlled non-randomized   studies</w:t>
            </w:r>
          </w:p>
          <w:p w14:paraId="6FECBDEB" w14:textId="77777777" w:rsidR="003C1279" w:rsidRPr="003C1279" w:rsidRDefault="003C1279" w:rsidP="003C1279">
            <w:pPr>
              <w:pStyle w:val="TableContents"/>
              <w:spacing w:line="276" w:lineRule="auto"/>
              <w:ind w:left="-90"/>
              <w:rPr>
                <w:rFonts w:cs="Times New Roman"/>
              </w:rPr>
            </w:pPr>
            <w:r w:rsidRPr="003C1279">
              <w:rPr>
                <w:rFonts w:cs="Times New Roman"/>
              </w:rPr>
              <w:t>- Sub-studies</w:t>
            </w:r>
          </w:p>
          <w:p w14:paraId="683ED4E2" w14:textId="77777777" w:rsidR="003C1279" w:rsidRPr="003C1279" w:rsidRDefault="003C1279" w:rsidP="003C1279">
            <w:pPr>
              <w:pStyle w:val="TableContents"/>
              <w:spacing w:line="276" w:lineRule="auto"/>
              <w:ind w:left="-90"/>
              <w:rPr>
                <w:rFonts w:cs="Times New Roman"/>
              </w:rPr>
            </w:pPr>
            <w:r w:rsidRPr="003C1279">
              <w:rPr>
                <w:rFonts w:cs="Times New Roman"/>
              </w:rPr>
              <w:t>- Systematic review</w:t>
            </w:r>
          </w:p>
          <w:p w14:paraId="4D79CD53" w14:textId="77777777" w:rsidR="003C1279" w:rsidRPr="003C1279" w:rsidRDefault="003C1279" w:rsidP="003C1279">
            <w:pPr>
              <w:pStyle w:val="TableContents"/>
              <w:spacing w:line="276" w:lineRule="auto"/>
              <w:ind w:left="-90"/>
              <w:rPr>
                <w:rFonts w:cs="Times New Roman"/>
              </w:rPr>
            </w:pPr>
            <w:r w:rsidRPr="003C1279">
              <w:rPr>
                <w:rFonts w:cs="Times New Roman"/>
              </w:rPr>
              <w:t>- Case report</w:t>
            </w:r>
            <w:r w:rsidRPr="003C1279">
              <w:rPr>
                <w:rFonts w:cs="Times New Roman"/>
              </w:rPr>
              <w:br/>
              <w:t>- Case series</w:t>
            </w:r>
            <w:r w:rsidRPr="003C1279">
              <w:rPr>
                <w:rFonts w:cs="Times New Roman"/>
              </w:rPr>
              <w:br/>
              <w:t>- Editorials</w:t>
            </w:r>
          </w:p>
          <w:p w14:paraId="54C6C038" w14:textId="77777777" w:rsidR="003C1279" w:rsidRPr="003C1279" w:rsidRDefault="003C1279" w:rsidP="003C1279">
            <w:pPr>
              <w:pStyle w:val="TableContents"/>
              <w:spacing w:line="276" w:lineRule="auto"/>
              <w:ind w:left="-90"/>
              <w:rPr>
                <w:rFonts w:cs="Times New Roman"/>
              </w:rPr>
            </w:pPr>
            <w:r w:rsidRPr="003C1279">
              <w:rPr>
                <w:rFonts w:cs="Times New Roman"/>
              </w:rPr>
              <w:t>- Expert opinion</w:t>
            </w:r>
          </w:p>
        </w:tc>
      </w:tr>
    </w:tbl>
    <w:p w14:paraId="252DDE5A" w14:textId="77777777" w:rsidR="003C1279" w:rsidRPr="003C1279" w:rsidRDefault="003C1279" w:rsidP="003C1279">
      <w:pPr>
        <w:spacing w:line="276" w:lineRule="auto"/>
        <w:ind w:left="-90"/>
        <w:rPr>
          <w:rFonts w:cs="Times New Roman"/>
        </w:rPr>
      </w:pPr>
    </w:p>
    <w:p w14:paraId="6BB7E30E" w14:textId="77777777" w:rsidR="003C1279" w:rsidRPr="003C1279" w:rsidRDefault="003C1279" w:rsidP="003C1279">
      <w:pPr>
        <w:spacing w:line="276" w:lineRule="auto"/>
        <w:ind w:left="-90"/>
        <w:rPr>
          <w:rFonts w:cs="Times New Roman"/>
        </w:rPr>
      </w:pPr>
    </w:p>
    <w:p w14:paraId="312C1F27" w14:textId="77777777" w:rsidR="003C1279" w:rsidRPr="003C1279" w:rsidRDefault="003C1279" w:rsidP="003C1279">
      <w:pPr>
        <w:spacing w:line="276" w:lineRule="auto"/>
        <w:ind w:left="-90"/>
        <w:jc w:val="both"/>
        <w:rPr>
          <w:rFonts w:cs="Times New Roman"/>
        </w:rPr>
      </w:pPr>
      <w:r w:rsidRPr="003C1279">
        <w:rPr>
          <w:rFonts w:cs="Times New Roman"/>
        </w:rPr>
        <w:br w:type="page"/>
      </w:r>
      <w:r w:rsidRPr="003C1279">
        <w:rPr>
          <w:rFonts w:cs="Times New Roman"/>
        </w:rPr>
        <w:lastRenderedPageBreak/>
        <w:t>Table 2.  Patients demographics: numerosity of the patients and demographic characteristics of the participants.  The 2003 Avramidis study did not reported the BMI.</w:t>
      </w:r>
    </w:p>
    <w:p w14:paraId="04B3EEA4" w14:textId="77777777" w:rsidR="003C1279" w:rsidRPr="003C1279" w:rsidRDefault="003C1279" w:rsidP="003C1279">
      <w:pPr>
        <w:spacing w:line="276" w:lineRule="auto"/>
        <w:ind w:left="-90"/>
        <w:rPr>
          <w:rFonts w:cs="Times New Roman"/>
        </w:rPr>
      </w:pPr>
    </w:p>
    <w:p w14:paraId="05D6CA65" w14:textId="77777777" w:rsidR="003C1279" w:rsidRPr="003C1279" w:rsidRDefault="003C1279" w:rsidP="003C1279">
      <w:pPr>
        <w:spacing w:line="276" w:lineRule="auto"/>
        <w:ind w:left="-90"/>
        <w:rPr>
          <w:rFonts w:cs="Times New Roman"/>
        </w:rPr>
      </w:pPr>
    </w:p>
    <w:p w14:paraId="1C1F3CBE" w14:textId="77777777" w:rsidR="003C1279" w:rsidRPr="003C1279" w:rsidRDefault="003C1279" w:rsidP="003C1279">
      <w:pPr>
        <w:spacing w:line="276" w:lineRule="auto"/>
        <w:ind w:left="-90"/>
        <w:rPr>
          <w:rFonts w:cs="Times New Roman"/>
        </w:rPr>
      </w:pPr>
    </w:p>
    <w:tbl>
      <w:tblPr>
        <w:tblW w:w="9253" w:type="dxa"/>
        <w:tblInd w:w="21" w:type="dxa"/>
        <w:tblLayout w:type="fixed"/>
        <w:tblCellMar>
          <w:left w:w="10" w:type="dxa"/>
          <w:right w:w="10" w:type="dxa"/>
        </w:tblCellMar>
        <w:tblLook w:val="0000" w:firstRow="0" w:lastRow="0" w:firstColumn="0" w:lastColumn="0" w:noHBand="0" w:noVBand="0"/>
      </w:tblPr>
      <w:tblGrid>
        <w:gridCol w:w="1320"/>
        <w:gridCol w:w="1321"/>
        <w:gridCol w:w="1322"/>
        <w:gridCol w:w="1322"/>
        <w:gridCol w:w="1322"/>
        <w:gridCol w:w="1323"/>
        <w:gridCol w:w="1323"/>
      </w:tblGrid>
      <w:tr w:rsidR="003C1279" w:rsidRPr="003C1279" w14:paraId="16947E52" w14:textId="77777777" w:rsidTr="00251991">
        <w:tc>
          <w:tcPr>
            <w:tcW w:w="1320" w:type="dxa"/>
            <w:tcBorders>
              <w:top w:val="single" w:sz="2" w:space="0" w:color="000000"/>
              <w:left w:val="single" w:sz="2" w:space="0" w:color="000000"/>
              <w:bottom w:val="single" w:sz="2" w:space="0" w:color="000000"/>
            </w:tcBorders>
            <w:tcMar>
              <w:top w:w="55" w:type="dxa"/>
              <w:left w:w="55" w:type="dxa"/>
              <w:bottom w:w="55" w:type="dxa"/>
              <w:right w:w="55" w:type="dxa"/>
            </w:tcMar>
          </w:tcPr>
          <w:p w14:paraId="7569F367" w14:textId="77777777" w:rsidR="003C1279" w:rsidRPr="003C1279" w:rsidRDefault="003C1279" w:rsidP="003C1279">
            <w:pPr>
              <w:pStyle w:val="TableContents"/>
              <w:spacing w:line="276" w:lineRule="auto"/>
              <w:ind w:left="-90"/>
              <w:rPr>
                <w:rFonts w:cs="Times New Roman"/>
              </w:rPr>
            </w:pPr>
          </w:p>
        </w:tc>
        <w:tc>
          <w:tcPr>
            <w:tcW w:w="1321"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14:paraId="7CABA0F6"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Avramidis </w:t>
            </w:r>
            <w:r w:rsidRPr="003C1279">
              <w:rPr>
                <w:rFonts w:cs="Times New Roman"/>
                <w:vertAlign w:val="superscript"/>
              </w:rPr>
              <w:t>19</w:t>
            </w:r>
          </w:p>
        </w:tc>
        <w:tc>
          <w:tcPr>
            <w:tcW w:w="1322"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14:paraId="5F4B08F5"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Petterson </w:t>
            </w:r>
            <w:r w:rsidRPr="003C1279">
              <w:rPr>
                <w:rFonts w:cs="Times New Roman"/>
                <w:vertAlign w:val="superscript"/>
              </w:rPr>
              <w:t>23</w:t>
            </w:r>
          </w:p>
        </w:tc>
        <w:tc>
          <w:tcPr>
            <w:tcW w:w="1322"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14:paraId="5CA3882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Stevens-Lapsley </w:t>
            </w:r>
            <w:r w:rsidRPr="003C1279">
              <w:rPr>
                <w:rFonts w:cs="Times New Roman"/>
                <w:vertAlign w:val="superscript"/>
              </w:rPr>
              <w:t>22</w:t>
            </w:r>
          </w:p>
        </w:tc>
        <w:tc>
          <w:tcPr>
            <w:tcW w:w="1322"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14:paraId="08AA2DC3"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Avramidis </w:t>
            </w:r>
            <w:r w:rsidRPr="003C1279">
              <w:rPr>
                <w:rFonts w:cs="Times New Roman"/>
                <w:vertAlign w:val="superscript"/>
              </w:rPr>
              <w:t>20</w:t>
            </w:r>
          </w:p>
        </w:tc>
        <w:tc>
          <w:tcPr>
            <w:tcW w:w="1323"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3AA482B"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Levine </w:t>
            </w:r>
            <w:r w:rsidRPr="003C1279">
              <w:rPr>
                <w:rFonts w:cs="Times New Roman"/>
                <w:vertAlign w:val="superscript"/>
              </w:rPr>
              <w:t>21</w:t>
            </w:r>
          </w:p>
        </w:tc>
        <w:tc>
          <w:tcPr>
            <w:tcW w:w="1323" w:type="dxa"/>
            <w:tcBorders>
              <w:top w:val="single" w:sz="2" w:space="0" w:color="000000"/>
              <w:left w:val="single" w:sz="2" w:space="0" w:color="000000"/>
              <w:bottom w:val="single" w:sz="2" w:space="0" w:color="000000"/>
              <w:right w:val="single" w:sz="2" w:space="0" w:color="000000"/>
            </w:tcBorders>
          </w:tcPr>
          <w:p w14:paraId="369F412F" w14:textId="77777777" w:rsidR="003C1279" w:rsidRPr="003C1279" w:rsidRDefault="003C1279" w:rsidP="003C1279">
            <w:pPr>
              <w:pStyle w:val="TableContents"/>
              <w:spacing w:before="120" w:line="276" w:lineRule="auto"/>
              <w:ind w:left="-90"/>
              <w:jc w:val="center"/>
              <w:rPr>
                <w:rFonts w:cs="Times New Roman"/>
              </w:rPr>
            </w:pPr>
            <w:r w:rsidRPr="003C1279">
              <w:rPr>
                <w:rFonts w:cs="Times New Roman"/>
              </w:rPr>
              <w:t>Demircioglu</w:t>
            </w:r>
            <w:r w:rsidRPr="003C1279">
              <w:rPr>
                <w:rFonts w:cs="Times New Roman"/>
                <w:vertAlign w:val="superscript"/>
              </w:rPr>
              <w:t>24</w:t>
            </w:r>
          </w:p>
        </w:tc>
      </w:tr>
      <w:tr w:rsidR="003C1279" w:rsidRPr="003C1279" w14:paraId="5DFFB23D" w14:textId="77777777" w:rsidTr="00251991">
        <w:tc>
          <w:tcPr>
            <w:tcW w:w="1320" w:type="dxa"/>
            <w:tcBorders>
              <w:left w:val="single" w:sz="2" w:space="0" w:color="000000"/>
              <w:bottom w:val="single" w:sz="2" w:space="0" w:color="000000"/>
            </w:tcBorders>
            <w:tcMar>
              <w:top w:w="55" w:type="dxa"/>
              <w:left w:w="55" w:type="dxa"/>
              <w:bottom w:w="55" w:type="dxa"/>
              <w:right w:w="55" w:type="dxa"/>
            </w:tcMar>
            <w:vAlign w:val="center"/>
          </w:tcPr>
          <w:p w14:paraId="59BEC5E3" w14:textId="77777777" w:rsidR="003C1279" w:rsidRPr="003C1279" w:rsidRDefault="003C1279" w:rsidP="003C1279">
            <w:pPr>
              <w:pStyle w:val="TableContents"/>
              <w:spacing w:line="276" w:lineRule="auto"/>
              <w:ind w:left="-90"/>
              <w:rPr>
                <w:rFonts w:cs="Times New Roman"/>
              </w:rPr>
            </w:pPr>
            <w:r w:rsidRPr="003C1279">
              <w:rPr>
                <w:rFonts w:cs="Times New Roman"/>
              </w:rPr>
              <w:t>Number of patients</w:t>
            </w:r>
          </w:p>
        </w:tc>
        <w:tc>
          <w:tcPr>
            <w:tcW w:w="1321" w:type="dxa"/>
            <w:tcBorders>
              <w:left w:val="single" w:sz="2" w:space="0" w:color="000000"/>
              <w:bottom w:val="single" w:sz="2" w:space="0" w:color="000000"/>
            </w:tcBorders>
            <w:tcMar>
              <w:top w:w="55" w:type="dxa"/>
              <w:left w:w="55" w:type="dxa"/>
              <w:bottom w:w="55" w:type="dxa"/>
              <w:right w:w="55" w:type="dxa"/>
            </w:tcMar>
            <w:vAlign w:val="center"/>
          </w:tcPr>
          <w:p w14:paraId="06BA74DA"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30</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3A218B7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200</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33EF230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66</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781F872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70</w:t>
            </w:r>
          </w:p>
        </w:tc>
        <w:tc>
          <w:tcPr>
            <w:tcW w:w="13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C8FD0AE"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70</w:t>
            </w:r>
          </w:p>
        </w:tc>
        <w:tc>
          <w:tcPr>
            <w:tcW w:w="1323" w:type="dxa"/>
            <w:tcBorders>
              <w:left w:val="single" w:sz="2" w:space="0" w:color="000000"/>
              <w:bottom w:val="single" w:sz="2" w:space="0" w:color="000000"/>
              <w:right w:val="single" w:sz="2" w:space="0" w:color="000000"/>
            </w:tcBorders>
          </w:tcPr>
          <w:p w14:paraId="64459F5D" w14:textId="77777777" w:rsidR="003C1279" w:rsidRPr="003C1279" w:rsidRDefault="003C1279" w:rsidP="003C1279">
            <w:pPr>
              <w:pStyle w:val="TableContents"/>
              <w:spacing w:before="120" w:line="276" w:lineRule="auto"/>
              <w:ind w:left="-90"/>
              <w:jc w:val="center"/>
              <w:rPr>
                <w:rFonts w:cs="Times New Roman"/>
              </w:rPr>
            </w:pPr>
            <w:r w:rsidRPr="003C1279">
              <w:rPr>
                <w:rFonts w:cs="Times New Roman"/>
              </w:rPr>
              <w:t>60</w:t>
            </w:r>
          </w:p>
        </w:tc>
      </w:tr>
      <w:tr w:rsidR="003C1279" w:rsidRPr="003C1279" w14:paraId="3433D38F" w14:textId="77777777" w:rsidTr="00251991">
        <w:tc>
          <w:tcPr>
            <w:tcW w:w="1320" w:type="dxa"/>
            <w:tcBorders>
              <w:left w:val="single" w:sz="2" w:space="0" w:color="000000"/>
              <w:bottom w:val="single" w:sz="2" w:space="0" w:color="000000"/>
            </w:tcBorders>
            <w:tcMar>
              <w:top w:w="55" w:type="dxa"/>
              <w:left w:w="55" w:type="dxa"/>
              <w:bottom w:w="55" w:type="dxa"/>
              <w:right w:w="55" w:type="dxa"/>
            </w:tcMar>
            <w:vAlign w:val="center"/>
          </w:tcPr>
          <w:p w14:paraId="3565A6E0" w14:textId="77777777" w:rsidR="003C1279" w:rsidRPr="003C1279" w:rsidRDefault="003C1279" w:rsidP="003C1279">
            <w:pPr>
              <w:pStyle w:val="TableContents"/>
              <w:spacing w:line="276" w:lineRule="auto"/>
              <w:ind w:left="-90"/>
              <w:rPr>
                <w:rFonts w:cs="Times New Roman"/>
              </w:rPr>
            </w:pPr>
            <w:r w:rsidRPr="003C1279">
              <w:rPr>
                <w:rFonts w:cs="Times New Roman"/>
              </w:rPr>
              <w:t>NMES treated/ controls</w:t>
            </w:r>
          </w:p>
        </w:tc>
        <w:tc>
          <w:tcPr>
            <w:tcW w:w="1321" w:type="dxa"/>
            <w:tcBorders>
              <w:left w:val="single" w:sz="2" w:space="0" w:color="000000"/>
              <w:bottom w:val="single" w:sz="2" w:space="0" w:color="000000"/>
            </w:tcBorders>
            <w:tcMar>
              <w:top w:w="55" w:type="dxa"/>
              <w:left w:w="55" w:type="dxa"/>
              <w:bottom w:w="55" w:type="dxa"/>
              <w:right w:w="55" w:type="dxa"/>
            </w:tcMar>
            <w:vAlign w:val="center"/>
          </w:tcPr>
          <w:p w14:paraId="17BFBB9D"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15/15</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318D4084"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100/100</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12F0D09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35/31</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3B7DD82A"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35/35</w:t>
            </w:r>
          </w:p>
        </w:tc>
        <w:tc>
          <w:tcPr>
            <w:tcW w:w="13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5DA9168"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35/35</w:t>
            </w:r>
          </w:p>
        </w:tc>
        <w:tc>
          <w:tcPr>
            <w:tcW w:w="1323" w:type="dxa"/>
            <w:tcBorders>
              <w:left w:val="single" w:sz="2" w:space="0" w:color="000000"/>
              <w:bottom w:val="single" w:sz="2" w:space="0" w:color="000000"/>
              <w:right w:val="single" w:sz="2" w:space="0" w:color="000000"/>
            </w:tcBorders>
          </w:tcPr>
          <w:p w14:paraId="0D092DEF" w14:textId="77777777" w:rsidR="003C1279" w:rsidRPr="003C1279" w:rsidRDefault="003C1279" w:rsidP="003C1279">
            <w:pPr>
              <w:pStyle w:val="TableContents"/>
              <w:spacing w:before="240" w:line="276" w:lineRule="auto"/>
              <w:ind w:left="-90"/>
              <w:jc w:val="center"/>
              <w:rPr>
                <w:rFonts w:cs="Times New Roman"/>
              </w:rPr>
            </w:pPr>
            <w:r w:rsidRPr="003C1279">
              <w:rPr>
                <w:rFonts w:cs="Times New Roman"/>
              </w:rPr>
              <w:t>30/30</w:t>
            </w:r>
          </w:p>
        </w:tc>
      </w:tr>
      <w:tr w:rsidR="003C1279" w:rsidRPr="003C1279" w14:paraId="68FD1800" w14:textId="77777777" w:rsidTr="00251991">
        <w:tc>
          <w:tcPr>
            <w:tcW w:w="1320" w:type="dxa"/>
            <w:tcBorders>
              <w:left w:val="single" w:sz="2" w:space="0" w:color="000000"/>
              <w:bottom w:val="single" w:sz="2" w:space="0" w:color="000000"/>
            </w:tcBorders>
            <w:tcMar>
              <w:top w:w="55" w:type="dxa"/>
              <w:left w:w="55" w:type="dxa"/>
              <w:bottom w:w="55" w:type="dxa"/>
              <w:right w:w="55" w:type="dxa"/>
            </w:tcMar>
            <w:vAlign w:val="center"/>
          </w:tcPr>
          <w:p w14:paraId="4347F575" w14:textId="77777777" w:rsidR="003C1279" w:rsidRPr="003C1279" w:rsidRDefault="003C1279" w:rsidP="003C1279">
            <w:pPr>
              <w:pStyle w:val="TableContents"/>
              <w:spacing w:line="276" w:lineRule="auto"/>
              <w:ind w:left="-90"/>
              <w:rPr>
                <w:rFonts w:cs="Times New Roman"/>
              </w:rPr>
            </w:pPr>
            <w:r w:rsidRPr="003C1279">
              <w:rPr>
                <w:rFonts w:cs="Times New Roman"/>
              </w:rPr>
              <w:t>Female %</w:t>
            </w:r>
          </w:p>
        </w:tc>
        <w:tc>
          <w:tcPr>
            <w:tcW w:w="1321" w:type="dxa"/>
            <w:tcBorders>
              <w:left w:val="single" w:sz="2" w:space="0" w:color="000000"/>
              <w:bottom w:val="single" w:sz="2" w:space="0" w:color="000000"/>
            </w:tcBorders>
            <w:tcMar>
              <w:top w:w="55" w:type="dxa"/>
              <w:left w:w="55" w:type="dxa"/>
              <w:bottom w:w="55" w:type="dxa"/>
              <w:right w:w="55" w:type="dxa"/>
            </w:tcMar>
            <w:vAlign w:val="center"/>
          </w:tcPr>
          <w:p w14:paraId="3AA0618C"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73%</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35CAFBBF"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46%</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4728979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54,5%</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7B4C6773"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81,4%</w:t>
            </w:r>
          </w:p>
        </w:tc>
        <w:tc>
          <w:tcPr>
            <w:tcW w:w="13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D29A0B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69,7%</w:t>
            </w:r>
          </w:p>
        </w:tc>
        <w:tc>
          <w:tcPr>
            <w:tcW w:w="1323" w:type="dxa"/>
            <w:tcBorders>
              <w:left w:val="single" w:sz="2" w:space="0" w:color="000000"/>
              <w:bottom w:val="single" w:sz="2" w:space="0" w:color="000000"/>
              <w:right w:val="single" w:sz="2" w:space="0" w:color="000000"/>
            </w:tcBorders>
          </w:tcPr>
          <w:p w14:paraId="010647CC"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95%</w:t>
            </w:r>
          </w:p>
        </w:tc>
      </w:tr>
      <w:tr w:rsidR="003C1279" w:rsidRPr="003C1279" w14:paraId="64AA7860" w14:textId="77777777" w:rsidTr="00251991">
        <w:tc>
          <w:tcPr>
            <w:tcW w:w="1320" w:type="dxa"/>
            <w:tcBorders>
              <w:left w:val="single" w:sz="2" w:space="0" w:color="000000"/>
              <w:bottom w:val="single" w:sz="2" w:space="0" w:color="000000"/>
            </w:tcBorders>
            <w:tcMar>
              <w:top w:w="55" w:type="dxa"/>
              <w:left w:w="55" w:type="dxa"/>
              <w:bottom w:w="55" w:type="dxa"/>
              <w:right w:w="55" w:type="dxa"/>
            </w:tcMar>
            <w:vAlign w:val="center"/>
          </w:tcPr>
          <w:p w14:paraId="508EAF5C" w14:textId="77777777" w:rsidR="003C1279" w:rsidRPr="003C1279" w:rsidRDefault="003C1279" w:rsidP="003C1279">
            <w:pPr>
              <w:pStyle w:val="TableContents"/>
              <w:spacing w:line="276" w:lineRule="auto"/>
              <w:ind w:left="-90"/>
              <w:rPr>
                <w:rFonts w:cs="Times New Roman"/>
              </w:rPr>
            </w:pPr>
            <w:r w:rsidRPr="003C1279">
              <w:rPr>
                <w:rFonts w:cs="Times New Roman"/>
              </w:rPr>
              <w:t>Age (mean)</w:t>
            </w:r>
          </w:p>
        </w:tc>
        <w:tc>
          <w:tcPr>
            <w:tcW w:w="1321" w:type="dxa"/>
            <w:tcBorders>
              <w:left w:val="single" w:sz="2" w:space="0" w:color="000000"/>
              <w:bottom w:val="single" w:sz="2" w:space="0" w:color="000000"/>
            </w:tcBorders>
            <w:tcMar>
              <w:top w:w="55" w:type="dxa"/>
              <w:left w:w="55" w:type="dxa"/>
              <w:bottom w:w="55" w:type="dxa"/>
              <w:right w:w="55" w:type="dxa"/>
            </w:tcMar>
            <w:vAlign w:val="center"/>
          </w:tcPr>
          <w:p w14:paraId="0CEA4F4A"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70</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13F08ED2"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65</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0EA3C5F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65</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3BEE46A2"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71</w:t>
            </w:r>
          </w:p>
        </w:tc>
        <w:tc>
          <w:tcPr>
            <w:tcW w:w="13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F188DA4"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67</w:t>
            </w:r>
          </w:p>
        </w:tc>
        <w:tc>
          <w:tcPr>
            <w:tcW w:w="1323" w:type="dxa"/>
            <w:tcBorders>
              <w:left w:val="single" w:sz="2" w:space="0" w:color="000000"/>
              <w:bottom w:val="single" w:sz="2" w:space="0" w:color="000000"/>
              <w:right w:val="single" w:sz="2" w:space="0" w:color="000000"/>
            </w:tcBorders>
          </w:tcPr>
          <w:p w14:paraId="2BFEAFC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65</w:t>
            </w:r>
          </w:p>
        </w:tc>
      </w:tr>
      <w:tr w:rsidR="003C1279" w:rsidRPr="003C1279" w14:paraId="777810C5" w14:textId="77777777" w:rsidTr="00251991">
        <w:tc>
          <w:tcPr>
            <w:tcW w:w="1320" w:type="dxa"/>
            <w:tcBorders>
              <w:left w:val="single" w:sz="2" w:space="0" w:color="000000"/>
              <w:bottom w:val="single" w:sz="2" w:space="0" w:color="000000"/>
            </w:tcBorders>
            <w:tcMar>
              <w:top w:w="55" w:type="dxa"/>
              <w:left w:w="55" w:type="dxa"/>
              <w:bottom w:w="55" w:type="dxa"/>
              <w:right w:w="55" w:type="dxa"/>
            </w:tcMar>
            <w:vAlign w:val="center"/>
          </w:tcPr>
          <w:p w14:paraId="7AD8EA37" w14:textId="77777777" w:rsidR="003C1279" w:rsidRPr="003C1279" w:rsidRDefault="003C1279" w:rsidP="003C1279">
            <w:pPr>
              <w:pStyle w:val="TableContents"/>
              <w:spacing w:line="276" w:lineRule="auto"/>
              <w:ind w:left="-90"/>
              <w:rPr>
                <w:rFonts w:cs="Times New Roman"/>
              </w:rPr>
            </w:pPr>
            <w:r w:rsidRPr="003C1279">
              <w:rPr>
                <w:rFonts w:cs="Times New Roman"/>
              </w:rPr>
              <w:t>BMI (mean)</w:t>
            </w:r>
          </w:p>
        </w:tc>
        <w:tc>
          <w:tcPr>
            <w:tcW w:w="1321" w:type="dxa"/>
            <w:tcBorders>
              <w:left w:val="single" w:sz="2" w:space="0" w:color="000000"/>
              <w:bottom w:val="single" w:sz="2" w:space="0" w:color="000000"/>
            </w:tcBorders>
            <w:tcMar>
              <w:top w:w="55" w:type="dxa"/>
              <w:left w:w="55" w:type="dxa"/>
              <w:bottom w:w="55" w:type="dxa"/>
              <w:right w:w="55" w:type="dxa"/>
            </w:tcMar>
            <w:vAlign w:val="center"/>
          </w:tcPr>
          <w:p w14:paraId="6E9E3D0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47986241"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29.8</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3BFE2551"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29.1</w:t>
            </w:r>
          </w:p>
        </w:tc>
        <w:tc>
          <w:tcPr>
            <w:tcW w:w="1322" w:type="dxa"/>
            <w:tcBorders>
              <w:left w:val="single" w:sz="2" w:space="0" w:color="000000"/>
              <w:bottom w:val="single" w:sz="2" w:space="0" w:color="000000"/>
            </w:tcBorders>
            <w:tcMar>
              <w:top w:w="55" w:type="dxa"/>
              <w:left w:w="55" w:type="dxa"/>
              <w:bottom w:w="55" w:type="dxa"/>
              <w:right w:w="55" w:type="dxa"/>
            </w:tcMar>
            <w:vAlign w:val="center"/>
          </w:tcPr>
          <w:p w14:paraId="1FEA55C4"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27.3</w:t>
            </w:r>
          </w:p>
        </w:tc>
        <w:tc>
          <w:tcPr>
            <w:tcW w:w="13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BE902A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31.2</w:t>
            </w:r>
          </w:p>
        </w:tc>
        <w:tc>
          <w:tcPr>
            <w:tcW w:w="1323" w:type="dxa"/>
            <w:tcBorders>
              <w:left w:val="single" w:sz="2" w:space="0" w:color="000000"/>
              <w:bottom w:val="single" w:sz="2" w:space="0" w:color="000000"/>
              <w:right w:val="single" w:sz="2" w:space="0" w:color="000000"/>
            </w:tcBorders>
          </w:tcPr>
          <w:p w14:paraId="35181205"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29.6</w:t>
            </w:r>
          </w:p>
        </w:tc>
      </w:tr>
    </w:tbl>
    <w:p w14:paraId="5428564B" w14:textId="77777777" w:rsidR="003C1279" w:rsidRPr="003C1279" w:rsidRDefault="003C1279" w:rsidP="003C1279">
      <w:pPr>
        <w:spacing w:line="276" w:lineRule="auto"/>
        <w:ind w:left="-90"/>
        <w:rPr>
          <w:rFonts w:cs="Times New Roman"/>
        </w:rPr>
      </w:pPr>
    </w:p>
    <w:p w14:paraId="2A83577C" w14:textId="77777777" w:rsidR="003C1279" w:rsidRPr="003C1279" w:rsidRDefault="003C1279" w:rsidP="003C1279">
      <w:pPr>
        <w:spacing w:line="276" w:lineRule="auto"/>
        <w:ind w:left="-90"/>
        <w:rPr>
          <w:rFonts w:cs="Times New Roman"/>
        </w:rPr>
      </w:pPr>
    </w:p>
    <w:p w14:paraId="7B15367B" w14:textId="77777777" w:rsidR="003C1279" w:rsidRPr="003C1279" w:rsidRDefault="003C1279" w:rsidP="003C1279">
      <w:pPr>
        <w:spacing w:line="276" w:lineRule="auto"/>
        <w:ind w:left="-90"/>
        <w:jc w:val="both"/>
        <w:rPr>
          <w:rFonts w:cs="Times New Roman"/>
        </w:rPr>
      </w:pPr>
      <w:r w:rsidRPr="003C1279">
        <w:rPr>
          <w:rFonts w:cs="Times New Roman"/>
        </w:rPr>
        <w:br w:type="page"/>
      </w:r>
      <w:r w:rsidRPr="003C1279">
        <w:rPr>
          <w:rFonts w:cs="Times New Roman"/>
        </w:rPr>
        <w:lastRenderedPageBreak/>
        <w:t>Table 3. Characteristics of t</w:t>
      </w:r>
      <w:r w:rsidRPr="003C1279">
        <w:rPr>
          <w:rFonts w:cs="Times New Roman"/>
          <w:color w:val="000000"/>
        </w:rPr>
        <w:t>he  neuromuscular electrical stimulation sessions performed (NMES)</w:t>
      </w:r>
      <w:r w:rsidRPr="003C1279">
        <w:rPr>
          <w:rFonts w:cs="Times New Roman"/>
        </w:rPr>
        <w:t xml:space="preserve">. Start of treatment: the day when the treatment was started after surgery. Modality of treatment: how many times NMES treatment was applied per day or per week.  </w:t>
      </w:r>
      <w:r w:rsidRPr="003C1279">
        <w:rPr>
          <w:rFonts w:cs="Times New Roman"/>
          <w:color w:val="000000"/>
        </w:rPr>
        <w:t>Duty cycle: ratio between the time when the machine dispenses the impulse and time of rest, expressed in seconds</w:t>
      </w:r>
      <w:r w:rsidRPr="003C1279">
        <w:rPr>
          <w:rFonts w:cs="Times New Roman"/>
          <w:b/>
          <w:color w:val="000000"/>
        </w:rPr>
        <w:t>.</w:t>
      </w:r>
    </w:p>
    <w:p w14:paraId="77D7FD99" w14:textId="77777777" w:rsidR="003C1279" w:rsidRPr="003C1279" w:rsidRDefault="003C1279" w:rsidP="003C1279">
      <w:pPr>
        <w:spacing w:line="276" w:lineRule="auto"/>
        <w:ind w:left="-90"/>
        <w:rPr>
          <w:rFonts w:cs="Times New Roman"/>
        </w:rPr>
      </w:pPr>
    </w:p>
    <w:p w14:paraId="3428CC98" w14:textId="77777777" w:rsidR="003C1279" w:rsidRPr="003C1279" w:rsidRDefault="003C1279" w:rsidP="003C1279">
      <w:pPr>
        <w:spacing w:line="276" w:lineRule="auto"/>
        <w:ind w:left="-90"/>
        <w:rPr>
          <w:rFonts w:cs="Times New Roman"/>
        </w:rPr>
      </w:pPr>
    </w:p>
    <w:tbl>
      <w:tblPr>
        <w:tblW w:w="9390" w:type="dxa"/>
        <w:tblInd w:w="21" w:type="dxa"/>
        <w:tblLayout w:type="fixed"/>
        <w:tblCellMar>
          <w:left w:w="10" w:type="dxa"/>
          <w:right w:w="10" w:type="dxa"/>
        </w:tblCellMar>
        <w:tblLook w:val="0000" w:firstRow="0" w:lastRow="0" w:firstColumn="0" w:lastColumn="0" w:noHBand="0" w:noVBand="0"/>
      </w:tblPr>
      <w:tblGrid>
        <w:gridCol w:w="1394"/>
        <w:gridCol w:w="1322"/>
        <w:gridCol w:w="1371"/>
        <w:gridCol w:w="1227"/>
        <w:gridCol w:w="1299"/>
        <w:gridCol w:w="1299"/>
        <w:gridCol w:w="1478"/>
      </w:tblGrid>
      <w:tr w:rsidR="003C1279" w:rsidRPr="003C1279" w14:paraId="0D8A0942" w14:textId="77777777" w:rsidTr="00251991">
        <w:tc>
          <w:tcPr>
            <w:tcW w:w="1394"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1C3DC05B"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NMES</w:t>
            </w:r>
          </w:p>
        </w:tc>
        <w:tc>
          <w:tcPr>
            <w:tcW w:w="132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809346F"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Avramidis </w:t>
            </w:r>
            <w:r w:rsidRPr="003C1279">
              <w:rPr>
                <w:rFonts w:cs="Times New Roman"/>
                <w:vertAlign w:val="superscript"/>
              </w:rPr>
              <w:t>19</w:t>
            </w:r>
          </w:p>
        </w:tc>
        <w:tc>
          <w:tcPr>
            <w:tcW w:w="137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642D43D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Petterson  </w:t>
            </w:r>
            <w:r w:rsidRPr="003C1279">
              <w:rPr>
                <w:rFonts w:cs="Times New Roman"/>
                <w:vertAlign w:val="superscript"/>
              </w:rPr>
              <w:t>23</w:t>
            </w:r>
          </w:p>
        </w:tc>
        <w:tc>
          <w:tcPr>
            <w:tcW w:w="122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37906DD1"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Stevens-Lapsley </w:t>
            </w:r>
            <w:r w:rsidRPr="003C1279">
              <w:rPr>
                <w:rFonts w:cs="Times New Roman"/>
                <w:vertAlign w:val="superscript"/>
              </w:rPr>
              <w:t>22</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3AD1B52E"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Avramidis </w:t>
            </w:r>
            <w:r w:rsidRPr="003C1279">
              <w:rPr>
                <w:rFonts w:cs="Times New Roman"/>
                <w:vertAlign w:val="superscript"/>
              </w:rPr>
              <w:t>20</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1A207FC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Levine </w:t>
            </w:r>
            <w:r w:rsidRPr="003C1279">
              <w:rPr>
                <w:rFonts w:cs="Times New Roman"/>
                <w:vertAlign w:val="superscript"/>
              </w:rPr>
              <w:t>21</w:t>
            </w:r>
          </w:p>
        </w:tc>
        <w:tc>
          <w:tcPr>
            <w:tcW w:w="1478" w:type="dxa"/>
            <w:tcBorders>
              <w:top w:val="single" w:sz="2" w:space="0" w:color="000000"/>
              <w:left w:val="single" w:sz="2" w:space="0" w:color="000000"/>
              <w:bottom w:val="single" w:sz="2" w:space="0" w:color="000000"/>
              <w:right w:val="single" w:sz="2" w:space="0" w:color="000000"/>
            </w:tcBorders>
          </w:tcPr>
          <w:p w14:paraId="6BD2B581" w14:textId="77777777" w:rsidR="003C1279" w:rsidRPr="003C1279" w:rsidRDefault="003C1279" w:rsidP="003C1279">
            <w:pPr>
              <w:pStyle w:val="TableContents"/>
              <w:spacing w:before="120" w:line="276" w:lineRule="auto"/>
              <w:ind w:left="-90"/>
              <w:jc w:val="center"/>
              <w:rPr>
                <w:rFonts w:cs="Times New Roman"/>
              </w:rPr>
            </w:pPr>
            <w:r w:rsidRPr="003C1279">
              <w:rPr>
                <w:rFonts w:cs="Times New Roman"/>
              </w:rPr>
              <w:t>Demircioglu</w:t>
            </w:r>
            <w:r w:rsidRPr="003C1279">
              <w:rPr>
                <w:rFonts w:cs="Times New Roman"/>
                <w:vertAlign w:val="superscript"/>
              </w:rPr>
              <w:t>24</w:t>
            </w:r>
          </w:p>
        </w:tc>
      </w:tr>
      <w:tr w:rsidR="003C1279" w:rsidRPr="003C1279" w14:paraId="695C7DC2" w14:textId="77777777" w:rsidTr="00251991">
        <w:tc>
          <w:tcPr>
            <w:tcW w:w="1394"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391D1F7" w14:textId="77777777" w:rsidR="003C1279" w:rsidRPr="003C1279" w:rsidRDefault="003C1279" w:rsidP="003C1279">
            <w:pPr>
              <w:pStyle w:val="TableContents"/>
              <w:spacing w:line="276" w:lineRule="auto"/>
              <w:ind w:left="-90"/>
              <w:rPr>
                <w:rFonts w:cs="Times New Roman"/>
              </w:rPr>
            </w:pPr>
            <w:r w:rsidRPr="003C1279">
              <w:rPr>
                <w:rFonts w:cs="Times New Roman"/>
              </w:rPr>
              <w:t>Pre operative treatment</w:t>
            </w:r>
          </w:p>
        </w:tc>
        <w:tc>
          <w:tcPr>
            <w:tcW w:w="132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C30B1EC" w14:textId="77777777" w:rsidR="003C1279" w:rsidRPr="003C1279" w:rsidRDefault="003C1279" w:rsidP="003C1279">
            <w:pPr>
              <w:pStyle w:val="TableContents"/>
              <w:spacing w:line="276" w:lineRule="auto"/>
              <w:ind w:left="-90"/>
              <w:jc w:val="center"/>
              <w:rPr>
                <w:rFonts w:cs="Times New Roman"/>
              </w:rPr>
            </w:pPr>
          </w:p>
        </w:tc>
        <w:tc>
          <w:tcPr>
            <w:tcW w:w="137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43265F42" w14:textId="77777777" w:rsidR="003C1279" w:rsidRPr="003C1279" w:rsidRDefault="003C1279" w:rsidP="003C1279">
            <w:pPr>
              <w:pStyle w:val="TableContents"/>
              <w:spacing w:line="276" w:lineRule="auto"/>
              <w:ind w:left="-90"/>
              <w:jc w:val="center"/>
              <w:rPr>
                <w:rFonts w:cs="Times New Roman"/>
              </w:rPr>
            </w:pPr>
          </w:p>
        </w:tc>
        <w:tc>
          <w:tcPr>
            <w:tcW w:w="122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32214D7B" w14:textId="77777777" w:rsidR="003C1279" w:rsidRPr="003C1279" w:rsidRDefault="003C1279" w:rsidP="003C1279">
            <w:pPr>
              <w:pStyle w:val="TableContents"/>
              <w:spacing w:line="276" w:lineRule="auto"/>
              <w:ind w:left="-90"/>
              <w:jc w:val="center"/>
              <w:rPr>
                <w:rFonts w:cs="Times New Roman"/>
              </w:rPr>
            </w:pP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42A62DBE" w14:textId="77777777" w:rsidR="003C1279" w:rsidRPr="003C1279" w:rsidRDefault="003C1279" w:rsidP="003C1279">
            <w:pPr>
              <w:pStyle w:val="TableContents"/>
              <w:spacing w:line="276" w:lineRule="auto"/>
              <w:ind w:left="-90"/>
              <w:jc w:val="center"/>
              <w:rPr>
                <w:rFonts w:cs="Times New Roman"/>
              </w:rPr>
            </w:pP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C35A57D"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14 days</w:t>
            </w:r>
          </w:p>
        </w:tc>
        <w:tc>
          <w:tcPr>
            <w:tcW w:w="1478" w:type="dxa"/>
            <w:tcBorders>
              <w:top w:val="single" w:sz="2" w:space="0" w:color="000000"/>
              <w:left w:val="single" w:sz="2" w:space="0" w:color="000000"/>
              <w:bottom w:val="single" w:sz="2" w:space="0" w:color="000000"/>
              <w:right w:val="single" w:sz="2" w:space="0" w:color="000000"/>
            </w:tcBorders>
          </w:tcPr>
          <w:p w14:paraId="311AB9F3" w14:textId="77777777" w:rsidR="003C1279" w:rsidRPr="003C1279" w:rsidRDefault="003C1279" w:rsidP="003C1279">
            <w:pPr>
              <w:pStyle w:val="TableContents"/>
              <w:spacing w:before="120" w:line="276" w:lineRule="auto"/>
              <w:ind w:left="-90"/>
              <w:jc w:val="center"/>
              <w:rPr>
                <w:rFonts w:cs="Times New Roman"/>
              </w:rPr>
            </w:pPr>
          </w:p>
        </w:tc>
      </w:tr>
      <w:tr w:rsidR="003C1279" w:rsidRPr="003C1279" w14:paraId="0799F406" w14:textId="77777777" w:rsidTr="00251991">
        <w:tc>
          <w:tcPr>
            <w:tcW w:w="1394"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1C517D8E" w14:textId="77777777" w:rsidR="003C1279" w:rsidRPr="003C1279" w:rsidRDefault="003C1279" w:rsidP="003C1279">
            <w:pPr>
              <w:pStyle w:val="TableContents"/>
              <w:spacing w:line="276" w:lineRule="auto"/>
              <w:ind w:left="-90"/>
              <w:rPr>
                <w:rFonts w:cs="Times New Roman"/>
              </w:rPr>
            </w:pPr>
            <w:r w:rsidRPr="003C1279">
              <w:rPr>
                <w:rFonts w:cs="Times New Roman"/>
              </w:rPr>
              <w:t>Start of treatment</w:t>
            </w:r>
          </w:p>
          <w:p w14:paraId="7D4A70A5" w14:textId="77777777" w:rsidR="003C1279" w:rsidRPr="003C1279" w:rsidRDefault="003C1279" w:rsidP="003C1279">
            <w:pPr>
              <w:pStyle w:val="TableContents"/>
              <w:spacing w:line="276" w:lineRule="auto"/>
              <w:ind w:left="-90"/>
              <w:rPr>
                <w:rFonts w:cs="Times New Roman"/>
              </w:rPr>
            </w:pPr>
            <w:r w:rsidRPr="003C1279">
              <w:rPr>
                <w:rFonts w:cs="Times New Roman"/>
              </w:rPr>
              <w:t>(days after surgery)</w:t>
            </w:r>
          </w:p>
        </w:tc>
        <w:tc>
          <w:tcPr>
            <w:tcW w:w="132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2BD075C2"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w:t>
            </w:r>
          </w:p>
        </w:tc>
        <w:tc>
          <w:tcPr>
            <w:tcW w:w="137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7426B3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28</w:t>
            </w:r>
          </w:p>
        </w:tc>
        <w:tc>
          <w:tcPr>
            <w:tcW w:w="122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4A1811B8"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186C99AF"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1950A04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w:t>
            </w:r>
          </w:p>
        </w:tc>
        <w:tc>
          <w:tcPr>
            <w:tcW w:w="1478" w:type="dxa"/>
            <w:tcBorders>
              <w:top w:val="single" w:sz="2" w:space="0" w:color="000000"/>
              <w:left w:val="single" w:sz="2" w:space="0" w:color="000000"/>
              <w:bottom w:val="single" w:sz="2" w:space="0" w:color="000000"/>
              <w:right w:val="single" w:sz="2" w:space="0" w:color="000000"/>
            </w:tcBorders>
          </w:tcPr>
          <w:p w14:paraId="45206A47" w14:textId="77777777" w:rsidR="003C1279" w:rsidRPr="003C1279" w:rsidRDefault="003C1279" w:rsidP="003C1279">
            <w:pPr>
              <w:pStyle w:val="TableContents"/>
              <w:spacing w:before="360" w:line="276" w:lineRule="auto"/>
              <w:ind w:left="-90"/>
              <w:jc w:val="center"/>
              <w:rPr>
                <w:rFonts w:cs="Times New Roman"/>
              </w:rPr>
            </w:pPr>
            <w:r w:rsidRPr="003C1279">
              <w:rPr>
                <w:rFonts w:cs="Times New Roman"/>
              </w:rPr>
              <w:t>1</w:t>
            </w:r>
          </w:p>
        </w:tc>
      </w:tr>
      <w:tr w:rsidR="003C1279" w:rsidRPr="003C1279" w14:paraId="62A816B7" w14:textId="77777777" w:rsidTr="00251991">
        <w:tc>
          <w:tcPr>
            <w:tcW w:w="1394"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38332F92" w14:textId="77777777" w:rsidR="003C1279" w:rsidRPr="003C1279" w:rsidRDefault="003C1279" w:rsidP="003C1279">
            <w:pPr>
              <w:pStyle w:val="TableContents"/>
              <w:spacing w:line="276" w:lineRule="auto"/>
              <w:ind w:left="-90"/>
              <w:rPr>
                <w:rFonts w:cs="Times New Roman"/>
              </w:rPr>
            </w:pPr>
            <w:r w:rsidRPr="003C1279">
              <w:rPr>
                <w:rFonts w:cs="Times New Roman"/>
              </w:rPr>
              <w:t>Duration of treatment (minutes)</w:t>
            </w:r>
          </w:p>
        </w:tc>
        <w:tc>
          <w:tcPr>
            <w:tcW w:w="132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1EB4C005"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120</w:t>
            </w:r>
          </w:p>
        </w:tc>
        <w:tc>
          <w:tcPr>
            <w:tcW w:w="137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17373A5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15</w:t>
            </w:r>
          </w:p>
        </w:tc>
        <w:tc>
          <w:tcPr>
            <w:tcW w:w="122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3CC5C9C3"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15</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ADA137D"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120</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6B2A471F"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20-30</w:t>
            </w:r>
          </w:p>
        </w:tc>
        <w:tc>
          <w:tcPr>
            <w:tcW w:w="1478" w:type="dxa"/>
            <w:tcBorders>
              <w:top w:val="single" w:sz="2" w:space="0" w:color="000000"/>
              <w:left w:val="single" w:sz="2" w:space="0" w:color="000000"/>
              <w:bottom w:val="single" w:sz="2" w:space="0" w:color="000000"/>
              <w:right w:val="single" w:sz="2" w:space="0" w:color="000000"/>
            </w:tcBorders>
          </w:tcPr>
          <w:p w14:paraId="4FF7709D" w14:textId="77777777" w:rsidR="003C1279" w:rsidRPr="003C1279" w:rsidRDefault="003C1279" w:rsidP="003C1279">
            <w:pPr>
              <w:pStyle w:val="TableContents"/>
              <w:spacing w:before="240" w:line="276" w:lineRule="auto"/>
              <w:ind w:left="-90"/>
              <w:jc w:val="center"/>
              <w:rPr>
                <w:rFonts w:cs="Times New Roman"/>
              </w:rPr>
            </w:pPr>
            <w:r w:rsidRPr="003C1279">
              <w:rPr>
                <w:rFonts w:cs="Times New Roman"/>
              </w:rPr>
              <w:t>30</w:t>
            </w:r>
          </w:p>
        </w:tc>
      </w:tr>
      <w:tr w:rsidR="003C1279" w:rsidRPr="003C1279" w14:paraId="42B6648C" w14:textId="77777777" w:rsidTr="00251991">
        <w:tc>
          <w:tcPr>
            <w:tcW w:w="1394"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657C68F5" w14:textId="77777777" w:rsidR="003C1279" w:rsidRPr="003C1279" w:rsidRDefault="003C1279" w:rsidP="003C1279">
            <w:pPr>
              <w:pStyle w:val="TableContents"/>
              <w:spacing w:line="276" w:lineRule="auto"/>
              <w:ind w:left="-90"/>
              <w:rPr>
                <w:rFonts w:cs="Times New Roman"/>
              </w:rPr>
            </w:pPr>
            <w:r w:rsidRPr="003C1279">
              <w:rPr>
                <w:rFonts w:cs="Times New Roman"/>
              </w:rPr>
              <w:t>Modality of treatment</w:t>
            </w:r>
          </w:p>
        </w:tc>
        <w:tc>
          <w:tcPr>
            <w:tcW w:w="132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0D37038"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 times/ die</w:t>
            </w:r>
          </w:p>
        </w:tc>
        <w:tc>
          <w:tcPr>
            <w:tcW w:w="137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A84FFCA"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2-3 times/ week</w:t>
            </w:r>
          </w:p>
        </w:tc>
        <w:tc>
          <w:tcPr>
            <w:tcW w:w="122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5B55D481"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 times / die</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6C636E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 times / die</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D34EDD1"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1 time / die</w:t>
            </w:r>
          </w:p>
        </w:tc>
        <w:tc>
          <w:tcPr>
            <w:tcW w:w="1478" w:type="dxa"/>
            <w:tcBorders>
              <w:top w:val="single" w:sz="2" w:space="0" w:color="000000"/>
              <w:left w:val="single" w:sz="2" w:space="0" w:color="000000"/>
              <w:bottom w:val="single" w:sz="2" w:space="0" w:color="000000"/>
              <w:right w:val="single" w:sz="2" w:space="0" w:color="000000"/>
            </w:tcBorders>
          </w:tcPr>
          <w:p w14:paraId="72946A14" w14:textId="77777777" w:rsidR="003C1279" w:rsidRPr="003C1279" w:rsidRDefault="003C1279" w:rsidP="003C1279">
            <w:pPr>
              <w:pStyle w:val="TableContents"/>
              <w:spacing w:before="120" w:line="276" w:lineRule="auto"/>
              <w:ind w:left="-90"/>
              <w:jc w:val="center"/>
              <w:rPr>
                <w:rFonts w:cs="Times New Roman"/>
              </w:rPr>
            </w:pPr>
            <w:r w:rsidRPr="003C1279">
              <w:rPr>
                <w:rFonts w:cs="Times New Roman"/>
              </w:rPr>
              <w:t>5 times/week</w:t>
            </w:r>
          </w:p>
        </w:tc>
      </w:tr>
      <w:tr w:rsidR="003C1279" w:rsidRPr="003C1279" w14:paraId="2612E53D" w14:textId="77777777" w:rsidTr="00251991">
        <w:tc>
          <w:tcPr>
            <w:tcW w:w="1394"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6A3C1C42" w14:textId="77777777" w:rsidR="003C1279" w:rsidRPr="003C1279" w:rsidRDefault="003C1279" w:rsidP="003C1279">
            <w:pPr>
              <w:pStyle w:val="TableContents"/>
              <w:spacing w:line="276" w:lineRule="auto"/>
              <w:ind w:left="-90"/>
              <w:rPr>
                <w:rFonts w:cs="Times New Roman"/>
              </w:rPr>
            </w:pPr>
            <w:r w:rsidRPr="003C1279">
              <w:rPr>
                <w:rFonts w:cs="Times New Roman"/>
              </w:rPr>
              <w:t>Intensity</w:t>
            </w:r>
          </w:p>
        </w:tc>
        <w:tc>
          <w:tcPr>
            <w:tcW w:w="132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1F15022B"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Max Tolerated</w:t>
            </w:r>
          </w:p>
        </w:tc>
        <w:tc>
          <w:tcPr>
            <w:tcW w:w="137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400FE92"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Max </w:t>
            </w:r>
          </w:p>
          <w:p w14:paraId="3532DD7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Tolerated</w:t>
            </w:r>
          </w:p>
        </w:tc>
        <w:tc>
          <w:tcPr>
            <w:tcW w:w="122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B65E694"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Max Tolerated</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F4BB441"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Max Tolerated</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664ED816"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Max Tolerated</w:t>
            </w:r>
          </w:p>
        </w:tc>
        <w:tc>
          <w:tcPr>
            <w:tcW w:w="1478" w:type="dxa"/>
            <w:tcBorders>
              <w:top w:val="single" w:sz="2" w:space="0" w:color="000000"/>
              <w:left w:val="single" w:sz="2" w:space="0" w:color="000000"/>
              <w:bottom w:val="single" w:sz="2" w:space="0" w:color="000000"/>
              <w:right w:val="single" w:sz="2" w:space="0" w:color="000000"/>
            </w:tcBorders>
          </w:tcPr>
          <w:p w14:paraId="79C49FDA"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Max </w:t>
            </w:r>
          </w:p>
          <w:p w14:paraId="0735629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Tolerated</w:t>
            </w:r>
          </w:p>
        </w:tc>
      </w:tr>
      <w:tr w:rsidR="003C1279" w:rsidRPr="003C1279" w14:paraId="27A4CF5E" w14:textId="77777777" w:rsidTr="00251991">
        <w:tc>
          <w:tcPr>
            <w:tcW w:w="1394"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3DF10E1B" w14:textId="77777777" w:rsidR="003C1279" w:rsidRPr="003C1279" w:rsidRDefault="003C1279" w:rsidP="003C1279">
            <w:pPr>
              <w:pStyle w:val="TableContents"/>
              <w:spacing w:line="276" w:lineRule="auto"/>
              <w:ind w:left="-90"/>
              <w:rPr>
                <w:rFonts w:cs="Times New Roman"/>
              </w:rPr>
            </w:pPr>
            <w:r w:rsidRPr="003C1279">
              <w:rPr>
                <w:rFonts w:cs="Times New Roman"/>
              </w:rPr>
              <w:t>Frequency (Hz)</w:t>
            </w:r>
          </w:p>
        </w:tc>
        <w:tc>
          <w:tcPr>
            <w:tcW w:w="132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63B6FD72"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40</w:t>
            </w:r>
          </w:p>
        </w:tc>
        <w:tc>
          <w:tcPr>
            <w:tcW w:w="137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E25DDDF"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50</w:t>
            </w:r>
          </w:p>
        </w:tc>
        <w:tc>
          <w:tcPr>
            <w:tcW w:w="122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DBD9D9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50</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3E535AC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40</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1ECE9BF3"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75</w:t>
            </w:r>
          </w:p>
        </w:tc>
        <w:tc>
          <w:tcPr>
            <w:tcW w:w="1478" w:type="dxa"/>
            <w:tcBorders>
              <w:top w:val="single" w:sz="2" w:space="0" w:color="000000"/>
              <w:left w:val="single" w:sz="2" w:space="0" w:color="000000"/>
              <w:bottom w:val="single" w:sz="2" w:space="0" w:color="000000"/>
              <w:right w:val="single" w:sz="2" w:space="0" w:color="000000"/>
            </w:tcBorders>
          </w:tcPr>
          <w:p w14:paraId="77418554" w14:textId="77777777" w:rsidR="003C1279" w:rsidRPr="003C1279" w:rsidRDefault="003C1279" w:rsidP="003C1279">
            <w:pPr>
              <w:pStyle w:val="TableContents"/>
              <w:spacing w:before="120" w:line="276" w:lineRule="auto"/>
              <w:ind w:left="-90"/>
              <w:jc w:val="center"/>
              <w:rPr>
                <w:rFonts w:cs="Times New Roman"/>
              </w:rPr>
            </w:pPr>
            <w:r w:rsidRPr="003C1279">
              <w:rPr>
                <w:rFonts w:cs="Times New Roman"/>
              </w:rPr>
              <w:t>30-100</w:t>
            </w:r>
          </w:p>
        </w:tc>
      </w:tr>
      <w:tr w:rsidR="003C1279" w:rsidRPr="003C1279" w14:paraId="3199BE02" w14:textId="77777777" w:rsidTr="00251991">
        <w:tc>
          <w:tcPr>
            <w:tcW w:w="1394"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8B419B1" w14:textId="77777777" w:rsidR="003C1279" w:rsidRPr="003C1279" w:rsidRDefault="003C1279" w:rsidP="003C1279">
            <w:pPr>
              <w:pStyle w:val="TableContents"/>
              <w:spacing w:line="276" w:lineRule="auto"/>
              <w:ind w:left="-90"/>
              <w:rPr>
                <w:rFonts w:cs="Times New Roman"/>
              </w:rPr>
            </w:pPr>
            <w:r w:rsidRPr="003C1279">
              <w:rPr>
                <w:rFonts w:cs="Times New Roman"/>
              </w:rPr>
              <w:t>Duty cycle (%)</w:t>
            </w:r>
          </w:p>
        </w:tc>
        <w:tc>
          <w:tcPr>
            <w:tcW w:w="132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304AA59F"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50</w:t>
            </w:r>
          </w:p>
          <w:p w14:paraId="3AC0843A" w14:textId="77777777" w:rsidR="003C1279" w:rsidRPr="003C1279" w:rsidRDefault="003C1279" w:rsidP="003C1279">
            <w:pPr>
              <w:pStyle w:val="TableContents"/>
              <w:spacing w:line="276" w:lineRule="auto"/>
              <w:ind w:left="-90"/>
              <w:jc w:val="center"/>
              <w:rPr>
                <w:rFonts w:cs="Times New Roman"/>
              </w:rPr>
            </w:pPr>
            <w:smartTag w:uri="urn:schemas-microsoft-com:office:smarttags" w:element="metricconverter">
              <w:smartTagPr>
                <w:attr w:name="ProductID" w:val="8”"/>
              </w:smartTagPr>
              <w:r w:rsidRPr="003C1279">
                <w:rPr>
                  <w:rFonts w:cs="Times New Roman"/>
                  <w:color w:val="000000"/>
                </w:rPr>
                <w:t>8”</w:t>
              </w:r>
            </w:smartTag>
            <w:r w:rsidRPr="003C1279">
              <w:rPr>
                <w:rFonts w:cs="Times New Roman"/>
                <w:color w:val="000000"/>
              </w:rPr>
              <w:t xml:space="preserve"> ON/8”OFF</w:t>
            </w:r>
          </w:p>
        </w:tc>
        <w:tc>
          <w:tcPr>
            <w:tcW w:w="137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69D7925"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11</w:t>
            </w:r>
          </w:p>
          <w:p w14:paraId="623D2C46" w14:textId="77777777" w:rsidR="003C1279" w:rsidRPr="003C1279" w:rsidRDefault="003C1279" w:rsidP="003C1279">
            <w:pPr>
              <w:pStyle w:val="TableContents"/>
              <w:spacing w:line="276" w:lineRule="auto"/>
              <w:ind w:left="-90"/>
              <w:jc w:val="center"/>
              <w:rPr>
                <w:rFonts w:cs="Times New Roman"/>
              </w:rPr>
            </w:pPr>
            <w:r w:rsidRPr="003C1279">
              <w:rPr>
                <w:rFonts w:cs="Times New Roman"/>
                <w:color w:val="000000"/>
              </w:rPr>
              <w:t>10”ON/80”OFF</w:t>
            </w:r>
          </w:p>
        </w:tc>
        <w:tc>
          <w:tcPr>
            <w:tcW w:w="122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5FD85D3C"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25</w:t>
            </w:r>
          </w:p>
          <w:p w14:paraId="0A7D9E8B" w14:textId="77777777" w:rsidR="003C1279" w:rsidRPr="003C1279" w:rsidRDefault="003C1279" w:rsidP="003C1279">
            <w:pPr>
              <w:pStyle w:val="TableContents"/>
              <w:spacing w:line="276" w:lineRule="auto"/>
              <w:ind w:left="-90"/>
              <w:jc w:val="center"/>
              <w:rPr>
                <w:rFonts w:cs="Times New Roman"/>
              </w:rPr>
            </w:pPr>
            <w:r w:rsidRPr="003C1279">
              <w:rPr>
                <w:rFonts w:cs="Times New Roman"/>
                <w:color w:val="000000"/>
              </w:rPr>
              <w:t>15”ON/45”OFF</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1037E283"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50</w:t>
            </w:r>
          </w:p>
          <w:p w14:paraId="4AF96EEA" w14:textId="77777777" w:rsidR="003C1279" w:rsidRPr="003C1279" w:rsidRDefault="003C1279" w:rsidP="003C1279">
            <w:pPr>
              <w:pStyle w:val="TableContents"/>
              <w:spacing w:line="276" w:lineRule="auto"/>
              <w:ind w:left="-90"/>
              <w:jc w:val="center"/>
              <w:rPr>
                <w:rFonts w:cs="Times New Roman"/>
              </w:rPr>
            </w:pPr>
            <w:r w:rsidRPr="003C1279">
              <w:rPr>
                <w:rFonts w:cs="Times New Roman"/>
                <w:color w:val="000000"/>
              </w:rPr>
              <w:t>8”ON/8”OFF</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5E20F11B"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29</w:t>
            </w:r>
          </w:p>
          <w:p w14:paraId="30CE7A71" w14:textId="77777777" w:rsidR="003C1279" w:rsidRPr="003C1279" w:rsidRDefault="003C1279" w:rsidP="003C1279">
            <w:pPr>
              <w:pStyle w:val="TableContents"/>
              <w:spacing w:line="276" w:lineRule="auto"/>
              <w:ind w:left="-90"/>
              <w:jc w:val="center"/>
              <w:rPr>
                <w:rFonts w:cs="Times New Roman"/>
              </w:rPr>
            </w:pPr>
            <w:r w:rsidRPr="003C1279">
              <w:rPr>
                <w:rFonts w:cs="Times New Roman"/>
                <w:color w:val="000000"/>
              </w:rPr>
              <w:t>4”ON/10”OFF</w:t>
            </w:r>
          </w:p>
        </w:tc>
        <w:tc>
          <w:tcPr>
            <w:tcW w:w="1478" w:type="dxa"/>
            <w:tcBorders>
              <w:top w:val="single" w:sz="2" w:space="0" w:color="000000"/>
              <w:left w:val="single" w:sz="2" w:space="0" w:color="000000"/>
              <w:bottom w:val="single" w:sz="2" w:space="0" w:color="000000"/>
              <w:right w:val="single" w:sz="2" w:space="0" w:color="000000"/>
            </w:tcBorders>
          </w:tcPr>
          <w:p w14:paraId="7C3C0E86"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50</w:t>
            </w:r>
          </w:p>
          <w:p w14:paraId="270623D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10"ON/10"OFF</w:t>
            </w:r>
          </w:p>
        </w:tc>
      </w:tr>
      <w:tr w:rsidR="003C1279" w:rsidRPr="003C1279" w14:paraId="5D21F2EF" w14:textId="77777777" w:rsidTr="00251991">
        <w:tc>
          <w:tcPr>
            <w:tcW w:w="1394"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21B1077" w14:textId="77777777" w:rsidR="003C1279" w:rsidRPr="003C1279" w:rsidRDefault="003C1279" w:rsidP="003C1279">
            <w:pPr>
              <w:pStyle w:val="TableContents"/>
              <w:spacing w:line="276" w:lineRule="auto"/>
              <w:ind w:left="-90"/>
              <w:rPr>
                <w:rFonts w:cs="Times New Roman"/>
              </w:rPr>
            </w:pPr>
            <w:r w:rsidRPr="003C1279">
              <w:rPr>
                <w:rFonts w:cs="Times New Roman"/>
              </w:rPr>
              <w:t>Impulse duration (μs)</w:t>
            </w:r>
          </w:p>
        </w:tc>
        <w:tc>
          <w:tcPr>
            <w:tcW w:w="132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135398D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300</w:t>
            </w:r>
          </w:p>
        </w:tc>
        <w:tc>
          <w:tcPr>
            <w:tcW w:w="137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91B7ACD"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400</w:t>
            </w:r>
          </w:p>
        </w:tc>
        <w:tc>
          <w:tcPr>
            <w:tcW w:w="122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E42C643"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250</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62BCF698"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300</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64D019C"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300</w:t>
            </w:r>
          </w:p>
        </w:tc>
        <w:tc>
          <w:tcPr>
            <w:tcW w:w="1478" w:type="dxa"/>
            <w:tcBorders>
              <w:top w:val="single" w:sz="2" w:space="0" w:color="000000"/>
              <w:left w:val="single" w:sz="2" w:space="0" w:color="000000"/>
              <w:bottom w:val="single" w:sz="2" w:space="0" w:color="000000"/>
              <w:right w:val="single" w:sz="2" w:space="0" w:color="000000"/>
            </w:tcBorders>
          </w:tcPr>
          <w:p w14:paraId="53436FB9" w14:textId="77777777" w:rsidR="003C1279" w:rsidRPr="003C1279" w:rsidRDefault="003C1279" w:rsidP="003C1279">
            <w:pPr>
              <w:pStyle w:val="TableContents"/>
              <w:spacing w:before="120" w:line="276" w:lineRule="auto"/>
              <w:ind w:left="-90"/>
              <w:jc w:val="center"/>
              <w:rPr>
                <w:rFonts w:cs="Times New Roman"/>
              </w:rPr>
            </w:pPr>
            <w:r w:rsidRPr="003C1279">
              <w:rPr>
                <w:rFonts w:cs="Times New Roman"/>
              </w:rPr>
              <w:t>400</w:t>
            </w:r>
          </w:p>
        </w:tc>
      </w:tr>
      <w:tr w:rsidR="003C1279" w:rsidRPr="003C1279" w14:paraId="3616F158" w14:textId="77777777" w:rsidTr="00251991">
        <w:tc>
          <w:tcPr>
            <w:tcW w:w="1394"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A7195C9" w14:textId="77777777" w:rsidR="003C1279" w:rsidRPr="003C1279" w:rsidRDefault="003C1279" w:rsidP="003C1279">
            <w:pPr>
              <w:pStyle w:val="TableContents"/>
              <w:spacing w:line="276" w:lineRule="auto"/>
              <w:ind w:left="-90"/>
              <w:rPr>
                <w:rFonts w:cs="Times New Roman"/>
              </w:rPr>
            </w:pPr>
            <w:r w:rsidRPr="003C1279">
              <w:rPr>
                <w:rFonts w:cs="Times New Roman"/>
              </w:rPr>
              <w:t>Probe dimensions (cm)</w:t>
            </w:r>
          </w:p>
        </w:tc>
        <w:tc>
          <w:tcPr>
            <w:tcW w:w="132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28C2D7D"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7 x 7</w:t>
            </w:r>
          </w:p>
        </w:tc>
        <w:tc>
          <w:tcPr>
            <w:tcW w:w="137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6B9FCCA"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7.62 x 12.7</w:t>
            </w:r>
          </w:p>
        </w:tc>
        <w:tc>
          <w:tcPr>
            <w:tcW w:w="122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282385E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7.62 x 12.70</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5D4FBC8"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7.0 x 7.0</w:t>
            </w:r>
          </w:p>
        </w:tc>
        <w:tc>
          <w:tcPr>
            <w:tcW w:w="129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6CC1415"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5.08 x 10.16</w:t>
            </w:r>
          </w:p>
        </w:tc>
        <w:tc>
          <w:tcPr>
            <w:tcW w:w="1478" w:type="dxa"/>
            <w:tcBorders>
              <w:top w:val="single" w:sz="2" w:space="0" w:color="000000"/>
              <w:left w:val="single" w:sz="2" w:space="0" w:color="000000"/>
              <w:bottom w:val="single" w:sz="2" w:space="0" w:color="000000"/>
              <w:right w:val="single" w:sz="2" w:space="0" w:color="000000"/>
            </w:tcBorders>
          </w:tcPr>
          <w:p w14:paraId="5E2B16CF" w14:textId="77777777" w:rsidR="003C1279" w:rsidRPr="003C1279" w:rsidRDefault="003C1279" w:rsidP="003C1279">
            <w:pPr>
              <w:pStyle w:val="TableContents"/>
              <w:spacing w:before="240" w:line="276" w:lineRule="auto"/>
              <w:ind w:left="-90"/>
              <w:jc w:val="center"/>
              <w:rPr>
                <w:rFonts w:cs="Times New Roman"/>
              </w:rPr>
            </w:pPr>
            <w:r w:rsidRPr="003C1279">
              <w:rPr>
                <w:rFonts w:cs="Times New Roman"/>
              </w:rPr>
              <w:t>?</w:t>
            </w:r>
          </w:p>
        </w:tc>
      </w:tr>
    </w:tbl>
    <w:p w14:paraId="29359742" w14:textId="77777777" w:rsidR="003C1279" w:rsidRPr="003C1279" w:rsidRDefault="003C1279" w:rsidP="003C1279">
      <w:pPr>
        <w:spacing w:line="276" w:lineRule="auto"/>
        <w:ind w:left="-90"/>
        <w:rPr>
          <w:rFonts w:cs="Times New Roman"/>
        </w:rPr>
      </w:pPr>
    </w:p>
    <w:p w14:paraId="07F89419" w14:textId="77777777" w:rsidR="003C1279" w:rsidRPr="003C1279" w:rsidRDefault="003C1279" w:rsidP="003C1279">
      <w:pPr>
        <w:spacing w:line="276" w:lineRule="auto"/>
        <w:ind w:left="-90"/>
        <w:rPr>
          <w:rFonts w:cs="Times New Roman"/>
        </w:rPr>
      </w:pPr>
    </w:p>
    <w:p w14:paraId="23814CD1"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rPr>
        <w:br w:type="page"/>
      </w:r>
      <w:r w:rsidRPr="003C1279">
        <w:rPr>
          <w:rFonts w:cs="Times New Roman"/>
          <w:color w:val="000000"/>
        </w:rPr>
        <w:lastRenderedPageBreak/>
        <w:t xml:space="preserve">Table 4. </w:t>
      </w:r>
      <w:r w:rsidRPr="003C1279">
        <w:rPr>
          <w:rFonts w:cs="Times New Roman"/>
          <w:lang w:val="en-GB"/>
        </w:rPr>
        <w:t>Risk of bias</w:t>
      </w:r>
      <w:r w:rsidRPr="003C1279">
        <w:rPr>
          <w:rFonts w:cs="Times New Roman"/>
          <w:color w:val="000000"/>
        </w:rPr>
        <w:t xml:space="preserve"> The quality and risk of bias of individual randomized controlled trials included in the meta-analysis: + low risk; ? risk uncertain; - high risk</w:t>
      </w:r>
    </w:p>
    <w:p w14:paraId="326CB0B0" w14:textId="77777777" w:rsidR="003C1279" w:rsidRPr="003C1279" w:rsidRDefault="003C1279" w:rsidP="003C1279">
      <w:pPr>
        <w:spacing w:line="276" w:lineRule="auto"/>
        <w:ind w:left="-90"/>
        <w:rPr>
          <w:rFonts w:cs="Times New Roman"/>
        </w:rPr>
      </w:pPr>
    </w:p>
    <w:p w14:paraId="2D19C3FA" w14:textId="77777777" w:rsidR="003C1279" w:rsidRPr="003C1279" w:rsidRDefault="003C1279" w:rsidP="003C1279">
      <w:pPr>
        <w:spacing w:line="276" w:lineRule="auto"/>
        <w:ind w:left="-90"/>
        <w:rPr>
          <w:rFonts w:cs="Times New Roman"/>
        </w:rPr>
      </w:pPr>
    </w:p>
    <w:tbl>
      <w:tblPr>
        <w:tblW w:w="9039" w:type="dxa"/>
        <w:tblLayout w:type="fixed"/>
        <w:tblCellMar>
          <w:left w:w="10" w:type="dxa"/>
          <w:right w:w="10" w:type="dxa"/>
        </w:tblCellMar>
        <w:tblLook w:val="0000" w:firstRow="0" w:lastRow="0" w:firstColumn="0" w:lastColumn="0" w:noHBand="0" w:noVBand="0"/>
      </w:tblPr>
      <w:tblGrid>
        <w:gridCol w:w="2547"/>
        <w:gridCol w:w="1134"/>
        <w:gridCol w:w="1134"/>
        <w:gridCol w:w="992"/>
        <w:gridCol w:w="1134"/>
        <w:gridCol w:w="992"/>
        <w:gridCol w:w="1106"/>
      </w:tblGrid>
      <w:tr w:rsidR="003C1279" w:rsidRPr="003C1279" w14:paraId="534028F6" w14:textId="77777777" w:rsidTr="00251991">
        <w:tc>
          <w:tcPr>
            <w:tcW w:w="2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802410" w14:textId="77777777" w:rsidR="003C1279" w:rsidRPr="003C1279" w:rsidRDefault="003C1279" w:rsidP="003C1279">
            <w:pPr>
              <w:pStyle w:val="TableContents"/>
              <w:spacing w:line="276" w:lineRule="auto"/>
              <w:ind w:left="-90"/>
              <w:jc w:val="center"/>
              <w:rPr>
                <w:rFonts w:cs="Times New Roman"/>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F45646"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Avramidis </w:t>
            </w:r>
            <w:r w:rsidRPr="003C1279">
              <w:rPr>
                <w:rFonts w:cs="Times New Roman"/>
                <w:vertAlign w:val="superscript"/>
              </w:rPr>
              <w:t>19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9E9AD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Petterson  </w:t>
            </w:r>
            <w:r w:rsidRPr="003C1279">
              <w:rPr>
                <w:rFonts w:cs="Times New Roman"/>
                <w:vertAlign w:val="superscript"/>
              </w:rPr>
              <w:t>23</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A6002C"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Stevens-Lapsley  </w:t>
            </w:r>
            <w:r w:rsidRPr="003C1279">
              <w:rPr>
                <w:rFonts w:cs="Times New Roman"/>
                <w:vertAlign w:val="superscript"/>
              </w:rPr>
              <w:t>22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614CF5"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Avramidis  </w:t>
            </w:r>
            <w:r w:rsidRPr="003C1279">
              <w:rPr>
                <w:rFonts w:cs="Times New Roman"/>
                <w:vertAlign w:val="superscript"/>
              </w:rPr>
              <w:t>20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BD23CF4"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Levine </w:t>
            </w:r>
            <w:r w:rsidRPr="003C1279">
              <w:rPr>
                <w:rFonts w:cs="Times New Roman"/>
                <w:vertAlign w:val="superscript"/>
              </w:rPr>
              <w:t>21</w:t>
            </w:r>
          </w:p>
        </w:tc>
        <w:tc>
          <w:tcPr>
            <w:tcW w:w="1106" w:type="dxa"/>
            <w:tcBorders>
              <w:top w:val="single" w:sz="4" w:space="0" w:color="000000"/>
              <w:left w:val="single" w:sz="4" w:space="0" w:color="000000"/>
              <w:bottom w:val="single" w:sz="4" w:space="0" w:color="000000"/>
              <w:right w:val="single" w:sz="4" w:space="0" w:color="000000"/>
            </w:tcBorders>
          </w:tcPr>
          <w:p w14:paraId="5B793056" w14:textId="77777777" w:rsidR="003C1279" w:rsidRPr="003C1279" w:rsidRDefault="003C1279" w:rsidP="003C1279">
            <w:pPr>
              <w:pStyle w:val="TableContents"/>
              <w:spacing w:before="120" w:line="276" w:lineRule="auto"/>
              <w:ind w:left="-90"/>
              <w:jc w:val="center"/>
              <w:rPr>
                <w:rFonts w:cs="Times New Roman"/>
              </w:rPr>
            </w:pPr>
            <w:r w:rsidRPr="003C1279">
              <w:rPr>
                <w:rFonts w:cs="Times New Roman"/>
              </w:rPr>
              <w:t xml:space="preserve">Demircioglu </w:t>
            </w:r>
            <w:r w:rsidRPr="003C1279">
              <w:rPr>
                <w:rFonts w:cs="Times New Roman"/>
                <w:vertAlign w:val="superscript"/>
              </w:rPr>
              <w:t>24</w:t>
            </w:r>
          </w:p>
        </w:tc>
      </w:tr>
      <w:tr w:rsidR="003C1279" w:rsidRPr="003C1279" w14:paraId="716C2EFD" w14:textId="77777777" w:rsidTr="00251991">
        <w:tc>
          <w:tcPr>
            <w:tcW w:w="2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703769"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Generation of a random sequence (Bias of selection)</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0AB360"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9049DD"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6E4AA0"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319D76"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72A0B2"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06" w:type="dxa"/>
            <w:tcBorders>
              <w:top w:val="single" w:sz="4" w:space="0" w:color="000000"/>
              <w:left w:val="single" w:sz="4" w:space="0" w:color="000000"/>
              <w:bottom w:val="single" w:sz="4" w:space="0" w:color="000000"/>
              <w:right w:val="single" w:sz="4" w:space="0" w:color="000000"/>
            </w:tcBorders>
          </w:tcPr>
          <w:p w14:paraId="468B84A3"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 xml:space="preserve"> +</w:t>
            </w:r>
          </w:p>
        </w:tc>
      </w:tr>
      <w:tr w:rsidR="003C1279" w:rsidRPr="003C1279" w14:paraId="02F58EE6" w14:textId="77777777" w:rsidTr="00251991">
        <w:tc>
          <w:tcPr>
            <w:tcW w:w="2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538E94"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Blind allocation</w:t>
            </w:r>
          </w:p>
          <w:p w14:paraId="4691A88B"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(Bias of selection)</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FBC219"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521E9C"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6D253C"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3A2B1E"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94D9D7"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06" w:type="dxa"/>
            <w:tcBorders>
              <w:top w:val="single" w:sz="4" w:space="0" w:color="000000"/>
              <w:left w:val="single" w:sz="4" w:space="0" w:color="000000"/>
              <w:bottom w:val="single" w:sz="4" w:space="0" w:color="000000"/>
              <w:right w:val="single" w:sz="4" w:space="0" w:color="000000"/>
            </w:tcBorders>
          </w:tcPr>
          <w:p w14:paraId="7775F2EE"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 xml:space="preserve"> +</w:t>
            </w:r>
          </w:p>
        </w:tc>
      </w:tr>
      <w:tr w:rsidR="003C1279" w:rsidRPr="003C1279" w14:paraId="2E9A9618" w14:textId="77777777" w:rsidTr="00251991">
        <w:tc>
          <w:tcPr>
            <w:tcW w:w="2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77B98A"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Blind criteria for participants</w:t>
            </w:r>
          </w:p>
          <w:p w14:paraId="0915AE84"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(bias of participation)</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D4BE18"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8D64C7"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5FF9C4"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FD9504"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4A98DD"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06" w:type="dxa"/>
            <w:tcBorders>
              <w:top w:val="single" w:sz="4" w:space="0" w:color="000000"/>
              <w:left w:val="single" w:sz="4" w:space="0" w:color="000000"/>
              <w:bottom w:val="single" w:sz="4" w:space="0" w:color="000000"/>
              <w:right w:val="single" w:sz="4" w:space="0" w:color="000000"/>
            </w:tcBorders>
          </w:tcPr>
          <w:p w14:paraId="59D72B07"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 xml:space="preserve"> ?</w:t>
            </w:r>
          </w:p>
        </w:tc>
      </w:tr>
      <w:tr w:rsidR="003C1279" w:rsidRPr="003C1279" w14:paraId="4A570673" w14:textId="77777777" w:rsidTr="00251991">
        <w:tc>
          <w:tcPr>
            <w:tcW w:w="2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7CD56E"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Blind criteria for evaluators</w:t>
            </w:r>
          </w:p>
          <w:p w14:paraId="7F14DE6F"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(Bias of survey)</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A643BB"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813D11"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1090BE"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8D7B26"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BA4E80"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06" w:type="dxa"/>
            <w:tcBorders>
              <w:top w:val="single" w:sz="4" w:space="0" w:color="000000"/>
              <w:left w:val="single" w:sz="4" w:space="0" w:color="000000"/>
              <w:bottom w:val="single" w:sz="4" w:space="0" w:color="000000"/>
              <w:right w:val="single" w:sz="4" w:space="0" w:color="000000"/>
            </w:tcBorders>
          </w:tcPr>
          <w:p w14:paraId="1A625B58"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 xml:space="preserve"> ?</w:t>
            </w:r>
          </w:p>
        </w:tc>
      </w:tr>
      <w:tr w:rsidR="003C1279" w:rsidRPr="003C1279" w14:paraId="2676F97B" w14:textId="77777777" w:rsidTr="00251991">
        <w:tc>
          <w:tcPr>
            <w:tcW w:w="2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9F4E8F"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Incomplete data</w:t>
            </w:r>
          </w:p>
          <w:p w14:paraId="05958331"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(Bias of friction)</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D6ADF7"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DCBB4A"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09E890"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2BBEB2"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3F791A"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06" w:type="dxa"/>
            <w:tcBorders>
              <w:top w:val="single" w:sz="4" w:space="0" w:color="000000"/>
              <w:left w:val="single" w:sz="4" w:space="0" w:color="000000"/>
              <w:bottom w:val="single" w:sz="4" w:space="0" w:color="000000"/>
              <w:right w:val="single" w:sz="4" w:space="0" w:color="000000"/>
            </w:tcBorders>
          </w:tcPr>
          <w:p w14:paraId="7A158407"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 xml:space="preserve"> +</w:t>
            </w:r>
          </w:p>
        </w:tc>
      </w:tr>
      <w:tr w:rsidR="003C1279" w:rsidRPr="003C1279" w14:paraId="341E3F33" w14:textId="77777777" w:rsidTr="00251991">
        <w:tc>
          <w:tcPr>
            <w:tcW w:w="2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4D9DC1"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Fundings</w:t>
            </w:r>
          </w:p>
          <w:p w14:paraId="65A9C62F"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(fundings Bias)</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24E772"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CFC93E"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683EA3"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3801BB"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A728FE"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w:t>
            </w:r>
          </w:p>
        </w:tc>
        <w:tc>
          <w:tcPr>
            <w:tcW w:w="1106" w:type="dxa"/>
            <w:tcBorders>
              <w:top w:val="single" w:sz="4" w:space="0" w:color="000000"/>
              <w:left w:val="single" w:sz="4" w:space="0" w:color="000000"/>
              <w:bottom w:val="single" w:sz="4" w:space="0" w:color="000000"/>
              <w:right w:val="single" w:sz="4" w:space="0" w:color="000000"/>
            </w:tcBorders>
          </w:tcPr>
          <w:p w14:paraId="45DC6BBE"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color w:val="000000"/>
              </w:rPr>
              <w:t xml:space="preserve"> +</w:t>
            </w:r>
          </w:p>
        </w:tc>
      </w:tr>
    </w:tbl>
    <w:p w14:paraId="076B65F1" w14:textId="77777777" w:rsidR="003C1279" w:rsidRPr="003C1279" w:rsidRDefault="003C1279" w:rsidP="003C1279">
      <w:pPr>
        <w:spacing w:line="276" w:lineRule="auto"/>
        <w:ind w:left="-90"/>
        <w:rPr>
          <w:rFonts w:cs="Times New Roman"/>
        </w:rPr>
      </w:pPr>
    </w:p>
    <w:p w14:paraId="3E327CEF" w14:textId="77777777" w:rsidR="003C1279" w:rsidRPr="003C1279" w:rsidRDefault="003C1279" w:rsidP="003C1279">
      <w:pPr>
        <w:spacing w:line="276" w:lineRule="auto"/>
        <w:ind w:left="-90"/>
        <w:rPr>
          <w:rFonts w:cs="Times New Roman"/>
        </w:rPr>
      </w:pPr>
    </w:p>
    <w:p w14:paraId="28C6B6B3" w14:textId="77777777" w:rsidR="003C1279" w:rsidRPr="003C1279" w:rsidRDefault="003C1279" w:rsidP="003C1279">
      <w:pPr>
        <w:pStyle w:val="Standard"/>
        <w:autoSpaceDE w:val="0"/>
        <w:spacing w:line="276" w:lineRule="auto"/>
        <w:ind w:left="-90"/>
        <w:jc w:val="both"/>
        <w:rPr>
          <w:rFonts w:cs="Times New Roman"/>
          <w:color w:val="000000"/>
        </w:rPr>
      </w:pPr>
      <w:r w:rsidRPr="003C1279">
        <w:rPr>
          <w:rFonts w:cs="Times New Roman"/>
        </w:rPr>
        <w:br w:type="page"/>
      </w:r>
      <w:r w:rsidRPr="003C1279">
        <w:rPr>
          <w:rFonts w:cs="Times New Roman"/>
          <w:color w:val="000000"/>
        </w:rPr>
        <w:lastRenderedPageBreak/>
        <w:t>Table 5. Evaluated clinical outcomes for the selected studies.</w:t>
      </w:r>
    </w:p>
    <w:p w14:paraId="6A5BA879" w14:textId="77777777" w:rsidR="003C1279" w:rsidRPr="003C1279" w:rsidRDefault="003C1279" w:rsidP="003C1279">
      <w:pPr>
        <w:pStyle w:val="Standard"/>
        <w:autoSpaceDE w:val="0"/>
        <w:spacing w:line="276" w:lineRule="auto"/>
        <w:ind w:left="-90"/>
        <w:jc w:val="both"/>
        <w:rPr>
          <w:rFonts w:cs="Times New Roman"/>
        </w:rPr>
      </w:pPr>
      <w:r w:rsidRPr="003C1279">
        <w:rPr>
          <w:rFonts w:cs="Times New Roman"/>
          <w:i/>
        </w:rPr>
        <w:t>Physical performance</w:t>
      </w:r>
      <w:r w:rsidRPr="003C1279">
        <w:rPr>
          <w:rFonts w:cs="Times New Roman"/>
        </w:rPr>
        <w:t xml:space="preserve">. VAS: visual analog scale; TUG: </w:t>
      </w:r>
      <w:r w:rsidRPr="003C1279">
        <w:rPr>
          <w:rFonts w:cs="Times New Roman"/>
          <w:iCs/>
          <w:color w:val="212121"/>
          <w:shd w:val="clear" w:color="auto" w:fill="FFFFFF"/>
        </w:rPr>
        <w:t>Test Up and Go (a simple test used to evaluate the mobility of the subject: measures the time to get up from a chair, walk three meters, turn around, return to the chair and sit down again)</w:t>
      </w:r>
      <w:r w:rsidRPr="003C1279">
        <w:rPr>
          <w:rFonts w:cs="Times New Roman"/>
        </w:rPr>
        <w:t>; AROM: active range of motion; PROM: passive range of motion; WST: walking speed test; 3MWT: 3-minute walking test; 6MWT: 6-minute walking test (</w:t>
      </w:r>
      <w:r w:rsidRPr="003C1279">
        <w:rPr>
          <w:rFonts w:cs="Times New Roman"/>
          <w:iCs/>
          <w:color w:val="212121"/>
          <w:shd w:val="clear" w:color="auto" w:fill="FFFFFF"/>
        </w:rPr>
        <w:t>measure the distance that the subject covers walking for 3 or 6 minutes, respectively)</w:t>
      </w:r>
      <w:r w:rsidRPr="003C1279">
        <w:rPr>
          <w:rFonts w:cs="Times New Roman"/>
        </w:rPr>
        <w:t>; SCT: Stair</w:t>
      </w:r>
      <w:r w:rsidRPr="003C1279">
        <w:rPr>
          <w:rFonts w:cs="Times New Roman"/>
          <w:iCs/>
          <w:color w:val="212121"/>
          <w:shd w:val="clear" w:color="auto" w:fill="FFFFFF"/>
        </w:rPr>
        <w:t xml:space="preserve"> Climbing Test (measures the time to go up and down 12 steps of a stair); </w:t>
      </w:r>
      <w:r w:rsidRPr="003C1279">
        <w:rPr>
          <w:rFonts w:cs="Times New Roman"/>
        </w:rPr>
        <w:t>PCI: physiological cost index</w:t>
      </w:r>
    </w:p>
    <w:p w14:paraId="595B13AE" w14:textId="77777777" w:rsidR="003C1279" w:rsidRPr="003C1279" w:rsidRDefault="003C1279" w:rsidP="003C1279">
      <w:pPr>
        <w:pStyle w:val="Standard"/>
        <w:autoSpaceDE w:val="0"/>
        <w:spacing w:line="276" w:lineRule="auto"/>
        <w:ind w:left="-90"/>
        <w:jc w:val="both"/>
        <w:rPr>
          <w:rFonts w:cs="Times New Roman"/>
        </w:rPr>
      </w:pPr>
      <w:r w:rsidRPr="003C1279">
        <w:rPr>
          <w:rFonts w:cs="Times New Roman"/>
          <w:i/>
        </w:rPr>
        <w:t>Knee Functionality.</w:t>
      </w:r>
      <w:r w:rsidRPr="003C1279">
        <w:rPr>
          <w:rFonts w:cs="Times New Roman"/>
        </w:rPr>
        <w:t xml:space="preserve"> KSS: Knee Society Score, WOMAC: Western Ontario and McMaster Universities; OXFORD: Oxford 12 items knee score; GRS: global rating score; KOS-ADLS: Knee Outcome Survey -  Activities of Daily Living Scale; HSS: Hospital for Special Surgery Knee Score; SF-36: sf-36 italian version</w:t>
      </w:r>
    </w:p>
    <w:p w14:paraId="160EDF5E" w14:textId="77777777" w:rsidR="003C1279" w:rsidRPr="003C1279" w:rsidRDefault="003C1279" w:rsidP="003C1279">
      <w:pPr>
        <w:spacing w:line="276" w:lineRule="auto"/>
        <w:ind w:left="-90"/>
        <w:rPr>
          <w:rFonts w:cs="Times New Roman"/>
        </w:rPr>
      </w:pPr>
    </w:p>
    <w:tbl>
      <w:tblPr>
        <w:tblW w:w="9060" w:type="dxa"/>
        <w:tblInd w:w="-13" w:type="dxa"/>
        <w:tblLayout w:type="fixed"/>
        <w:tblCellMar>
          <w:left w:w="10" w:type="dxa"/>
          <w:right w:w="10" w:type="dxa"/>
        </w:tblCellMar>
        <w:tblLook w:val="0000" w:firstRow="0" w:lastRow="0" w:firstColumn="0" w:lastColumn="0" w:noHBand="0" w:noVBand="0"/>
      </w:tblPr>
      <w:tblGrid>
        <w:gridCol w:w="2420"/>
        <w:gridCol w:w="992"/>
        <w:gridCol w:w="1134"/>
        <w:gridCol w:w="1134"/>
        <w:gridCol w:w="1134"/>
        <w:gridCol w:w="1123"/>
        <w:gridCol w:w="1123"/>
      </w:tblGrid>
      <w:tr w:rsidR="003C1279" w:rsidRPr="003C1279" w14:paraId="7A99A425" w14:textId="77777777" w:rsidTr="00251991">
        <w:tc>
          <w:tcPr>
            <w:tcW w:w="2420" w:type="dxa"/>
            <w:tcBorders>
              <w:top w:val="single" w:sz="2" w:space="0" w:color="000000"/>
              <w:left w:val="single" w:sz="2" w:space="0" w:color="000000"/>
              <w:bottom w:val="single" w:sz="2" w:space="0" w:color="000000"/>
            </w:tcBorders>
            <w:tcMar>
              <w:top w:w="55" w:type="dxa"/>
              <w:left w:w="55" w:type="dxa"/>
              <w:bottom w:w="55" w:type="dxa"/>
              <w:right w:w="55" w:type="dxa"/>
            </w:tcMar>
          </w:tcPr>
          <w:p w14:paraId="539BD4DE" w14:textId="77777777" w:rsidR="003C1279" w:rsidRPr="003C1279" w:rsidRDefault="003C1279" w:rsidP="003C1279">
            <w:pPr>
              <w:pStyle w:val="TableContents"/>
              <w:spacing w:line="276" w:lineRule="auto"/>
              <w:ind w:left="-90"/>
              <w:rPr>
                <w:rFonts w:cs="Times New Roman"/>
              </w:rPr>
            </w:pPr>
          </w:p>
        </w:tc>
        <w:tc>
          <w:tcPr>
            <w:tcW w:w="992" w:type="dxa"/>
            <w:tcBorders>
              <w:top w:val="single" w:sz="2" w:space="0" w:color="000000"/>
              <w:left w:val="single" w:sz="2" w:space="0" w:color="000000"/>
              <w:bottom w:val="single" w:sz="2" w:space="0" w:color="000000"/>
            </w:tcBorders>
            <w:tcMar>
              <w:top w:w="55" w:type="dxa"/>
              <w:left w:w="55" w:type="dxa"/>
              <w:bottom w:w="55" w:type="dxa"/>
              <w:right w:w="55" w:type="dxa"/>
            </w:tcMar>
          </w:tcPr>
          <w:p w14:paraId="1C421993"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Avramidis </w:t>
            </w:r>
            <w:r w:rsidRPr="003C1279">
              <w:rPr>
                <w:rFonts w:cs="Times New Roman"/>
                <w:vertAlign w:val="superscript"/>
              </w:rPr>
              <w:t>19</w:t>
            </w:r>
          </w:p>
        </w:tc>
        <w:tc>
          <w:tcPr>
            <w:tcW w:w="1134" w:type="dxa"/>
            <w:tcBorders>
              <w:top w:val="single" w:sz="2" w:space="0" w:color="000000"/>
              <w:left w:val="single" w:sz="2" w:space="0" w:color="000000"/>
              <w:bottom w:val="single" w:sz="2" w:space="0" w:color="000000"/>
            </w:tcBorders>
            <w:tcMar>
              <w:top w:w="55" w:type="dxa"/>
              <w:left w:w="55" w:type="dxa"/>
              <w:bottom w:w="55" w:type="dxa"/>
              <w:right w:w="55" w:type="dxa"/>
            </w:tcMar>
          </w:tcPr>
          <w:p w14:paraId="2EDBD67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Petterson  </w:t>
            </w:r>
            <w:r w:rsidRPr="003C1279">
              <w:rPr>
                <w:rFonts w:cs="Times New Roman"/>
                <w:vertAlign w:val="superscript"/>
              </w:rPr>
              <w:t>23</w:t>
            </w:r>
          </w:p>
        </w:tc>
        <w:tc>
          <w:tcPr>
            <w:tcW w:w="1134" w:type="dxa"/>
            <w:tcBorders>
              <w:top w:val="single" w:sz="2" w:space="0" w:color="000000"/>
              <w:left w:val="single" w:sz="2" w:space="0" w:color="000000"/>
              <w:bottom w:val="single" w:sz="2" w:space="0" w:color="000000"/>
            </w:tcBorders>
            <w:tcMar>
              <w:top w:w="55" w:type="dxa"/>
              <w:left w:w="55" w:type="dxa"/>
              <w:bottom w:w="55" w:type="dxa"/>
              <w:right w:w="55" w:type="dxa"/>
            </w:tcMar>
          </w:tcPr>
          <w:p w14:paraId="42BFB108"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Stevens-Lapsley </w:t>
            </w:r>
            <w:r w:rsidRPr="003C1279">
              <w:rPr>
                <w:rFonts w:cs="Times New Roman"/>
                <w:vertAlign w:val="superscript"/>
              </w:rPr>
              <w:t>22</w:t>
            </w:r>
          </w:p>
        </w:tc>
        <w:tc>
          <w:tcPr>
            <w:tcW w:w="1134" w:type="dxa"/>
            <w:tcBorders>
              <w:top w:val="single" w:sz="2" w:space="0" w:color="000000"/>
              <w:left w:val="single" w:sz="2" w:space="0" w:color="000000"/>
              <w:bottom w:val="single" w:sz="2" w:space="0" w:color="000000"/>
            </w:tcBorders>
            <w:tcMar>
              <w:top w:w="55" w:type="dxa"/>
              <w:left w:w="55" w:type="dxa"/>
              <w:bottom w:w="55" w:type="dxa"/>
              <w:right w:w="55" w:type="dxa"/>
            </w:tcMar>
          </w:tcPr>
          <w:p w14:paraId="4EF747E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Avramidis  </w:t>
            </w:r>
            <w:r w:rsidRPr="003C1279">
              <w:rPr>
                <w:rFonts w:cs="Times New Roman"/>
                <w:vertAlign w:val="superscript"/>
              </w:rPr>
              <w:t>20</w:t>
            </w:r>
          </w:p>
        </w:tc>
        <w:tc>
          <w:tcPr>
            <w:tcW w:w="1123"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F8EA4D6"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 xml:space="preserve">Levine </w:t>
            </w:r>
            <w:r w:rsidRPr="003C1279">
              <w:rPr>
                <w:rFonts w:cs="Times New Roman"/>
                <w:vertAlign w:val="superscript"/>
              </w:rPr>
              <w:t>21</w:t>
            </w:r>
          </w:p>
        </w:tc>
        <w:tc>
          <w:tcPr>
            <w:tcW w:w="1123" w:type="dxa"/>
            <w:tcBorders>
              <w:top w:val="single" w:sz="2" w:space="0" w:color="000000"/>
              <w:left w:val="single" w:sz="2" w:space="0" w:color="000000"/>
              <w:bottom w:val="single" w:sz="2" w:space="0" w:color="000000"/>
              <w:right w:val="single" w:sz="2" w:space="0" w:color="000000"/>
            </w:tcBorders>
          </w:tcPr>
          <w:p w14:paraId="1E5694DD"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Demircioglu</w:t>
            </w:r>
            <w:r w:rsidRPr="003C1279">
              <w:rPr>
                <w:rFonts w:cs="Times New Roman"/>
                <w:vertAlign w:val="superscript"/>
              </w:rPr>
              <w:t>24</w:t>
            </w:r>
          </w:p>
        </w:tc>
      </w:tr>
      <w:tr w:rsidR="003C1279" w:rsidRPr="003C1279" w14:paraId="45286728" w14:textId="77777777" w:rsidTr="00251991">
        <w:tc>
          <w:tcPr>
            <w:tcW w:w="7937" w:type="dxa"/>
            <w:gridSpan w:val="6"/>
            <w:tcBorders>
              <w:left w:val="single" w:sz="2" w:space="0" w:color="000000"/>
              <w:bottom w:val="single" w:sz="2" w:space="0" w:color="000000"/>
              <w:right w:val="single" w:sz="2" w:space="0" w:color="000000"/>
            </w:tcBorders>
            <w:shd w:val="clear" w:color="auto" w:fill="CCCCCC"/>
            <w:tcMar>
              <w:top w:w="55" w:type="dxa"/>
              <w:left w:w="55" w:type="dxa"/>
              <w:bottom w:w="55" w:type="dxa"/>
              <w:right w:w="55" w:type="dxa"/>
            </w:tcMar>
          </w:tcPr>
          <w:p w14:paraId="733B12AE" w14:textId="77777777" w:rsidR="003C1279" w:rsidRPr="003C1279" w:rsidRDefault="003C1279" w:rsidP="003C1279">
            <w:pPr>
              <w:pStyle w:val="TableContents"/>
              <w:spacing w:line="276" w:lineRule="auto"/>
              <w:ind w:left="-90"/>
              <w:rPr>
                <w:rFonts w:cs="Times New Roman"/>
              </w:rPr>
            </w:pPr>
            <w:r w:rsidRPr="003C1279">
              <w:rPr>
                <w:rFonts w:cs="Times New Roman"/>
                <w:i/>
              </w:rPr>
              <w:t>Physical performance</w:t>
            </w:r>
            <w:r w:rsidRPr="003C1279">
              <w:rPr>
                <w:rFonts w:cs="Times New Roman"/>
              </w:rPr>
              <w:t>.</w:t>
            </w:r>
          </w:p>
        </w:tc>
        <w:tc>
          <w:tcPr>
            <w:tcW w:w="1123" w:type="dxa"/>
            <w:tcBorders>
              <w:left w:val="single" w:sz="2" w:space="0" w:color="000000"/>
              <w:bottom w:val="single" w:sz="2" w:space="0" w:color="000000"/>
              <w:right w:val="single" w:sz="2" w:space="0" w:color="000000"/>
            </w:tcBorders>
            <w:shd w:val="clear" w:color="auto" w:fill="CCCCCC"/>
          </w:tcPr>
          <w:p w14:paraId="3C488523" w14:textId="77777777" w:rsidR="003C1279" w:rsidRPr="003C1279" w:rsidRDefault="003C1279" w:rsidP="003C1279">
            <w:pPr>
              <w:pStyle w:val="TableContents"/>
              <w:spacing w:line="276" w:lineRule="auto"/>
              <w:ind w:left="-90"/>
              <w:rPr>
                <w:rFonts w:cs="Times New Roman"/>
                <w:i/>
              </w:rPr>
            </w:pPr>
          </w:p>
        </w:tc>
      </w:tr>
      <w:tr w:rsidR="003C1279" w:rsidRPr="003C1279" w14:paraId="465B8678"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3A0A4266"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VAS</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36A206DE"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00EE34E4"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4D6FB1D2"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51059876"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EB6BDA2"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2395D6BB"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r>
      <w:tr w:rsidR="003C1279" w:rsidRPr="003C1279" w14:paraId="35C2E2D3"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40428ED2"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TUG</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546DF756"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19B6916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0BF52398"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56632568"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49EE08C"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23" w:type="dxa"/>
            <w:tcBorders>
              <w:left w:val="single" w:sz="2" w:space="0" w:color="000000"/>
              <w:bottom w:val="single" w:sz="2" w:space="0" w:color="000000"/>
              <w:right w:val="single" w:sz="2" w:space="0" w:color="000000"/>
            </w:tcBorders>
          </w:tcPr>
          <w:p w14:paraId="4E19259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r>
      <w:tr w:rsidR="003C1279" w:rsidRPr="003C1279" w14:paraId="2139000C"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10848682"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AROM</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4728D223"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0412694D"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515E679E"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2DB9FE87"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3664A9F"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23" w:type="dxa"/>
            <w:tcBorders>
              <w:left w:val="single" w:sz="2" w:space="0" w:color="000000"/>
              <w:bottom w:val="single" w:sz="2" w:space="0" w:color="000000"/>
              <w:right w:val="single" w:sz="2" w:space="0" w:color="000000"/>
            </w:tcBorders>
          </w:tcPr>
          <w:p w14:paraId="16499DD7" w14:textId="77777777" w:rsidR="003C1279" w:rsidRPr="003C1279" w:rsidRDefault="003C1279" w:rsidP="003C1279">
            <w:pPr>
              <w:pStyle w:val="TableContents"/>
              <w:spacing w:line="276" w:lineRule="auto"/>
              <w:ind w:left="-90"/>
              <w:jc w:val="center"/>
              <w:rPr>
                <w:rFonts w:cs="Times New Roman"/>
              </w:rPr>
            </w:pPr>
          </w:p>
        </w:tc>
      </w:tr>
      <w:tr w:rsidR="003C1279" w:rsidRPr="003C1279" w14:paraId="71D30F16"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22C39604"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PROM</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445EE022"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06C9598A"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757CA6CC"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4A17CBA2"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DEBD282"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2AF771BC"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r>
      <w:tr w:rsidR="003C1279" w:rsidRPr="003C1279" w14:paraId="5C81DC5A"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48F6BE5F"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WST</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3CF21442"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2E000856"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524C9558"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5F0A4375"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7CACE53"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2A5A126E" w14:textId="77777777" w:rsidR="003C1279" w:rsidRPr="003C1279" w:rsidRDefault="003C1279" w:rsidP="003C1279">
            <w:pPr>
              <w:pStyle w:val="TableContents"/>
              <w:spacing w:line="276" w:lineRule="auto"/>
              <w:ind w:left="-90"/>
              <w:jc w:val="center"/>
              <w:rPr>
                <w:rFonts w:cs="Times New Roman"/>
              </w:rPr>
            </w:pPr>
          </w:p>
        </w:tc>
      </w:tr>
      <w:tr w:rsidR="003C1279" w:rsidRPr="003C1279" w14:paraId="3987748F"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7CEF531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3MWT</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045396DD"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15CF595B"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4EA3ACF5"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782F15FB"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16B3C5D"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49F79121" w14:textId="77777777" w:rsidR="003C1279" w:rsidRPr="003C1279" w:rsidRDefault="003C1279" w:rsidP="003C1279">
            <w:pPr>
              <w:pStyle w:val="TableContents"/>
              <w:spacing w:line="276" w:lineRule="auto"/>
              <w:ind w:left="-90"/>
              <w:jc w:val="center"/>
              <w:rPr>
                <w:rFonts w:cs="Times New Roman"/>
              </w:rPr>
            </w:pPr>
          </w:p>
        </w:tc>
      </w:tr>
      <w:tr w:rsidR="003C1279" w:rsidRPr="003C1279" w14:paraId="2B357747"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1C8F561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6MWT</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41E55B8F"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16F65C30"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043B4BBF"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71D59B9A"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ABF4C25"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07D9022F" w14:textId="77777777" w:rsidR="003C1279" w:rsidRPr="003C1279" w:rsidRDefault="003C1279" w:rsidP="003C1279">
            <w:pPr>
              <w:pStyle w:val="TableContents"/>
              <w:spacing w:line="276" w:lineRule="auto"/>
              <w:ind w:left="-90"/>
              <w:jc w:val="center"/>
              <w:rPr>
                <w:rFonts w:cs="Times New Roman"/>
              </w:rPr>
            </w:pPr>
          </w:p>
        </w:tc>
      </w:tr>
      <w:tr w:rsidR="003C1279" w:rsidRPr="003C1279" w14:paraId="163C4A8A"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3D2DAD18"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Quadriceps strength</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1C564471"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348C6AE8"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09EE278B"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106FAA22"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6DE9B64"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44FC1848" w14:textId="77777777" w:rsidR="003C1279" w:rsidRPr="003C1279" w:rsidRDefault="003C1279" w:rsidP="003C1279">
            <w:pPr>
              <w:pStyle w:val="TableContents"/>
              <w:spacing w:line="276" w:lineRule="auto"/>
              <w:ind w:left="-90"/>
              <w:jc w:val="center"/>
              <w:rPr>
                <w:rFonts w:cs="Times New Roman"/>
              </w:rPr>
            </w:pPr>
          </w:p>
        </w:tc>
      </w:tr>
      <w:tr w:rsidR="003C1279" w:rsidRPr="003C1279" w14:paraId="76000ACA"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22045572"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Quadriceps activation</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1B4EAA91"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33F24056"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6F9AFDE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280B7EE1"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C0F503C"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5285E71C" w14:textId="77777777" w:rsidR="003C1279" w:rsidRPr="003C1279" w:rsidRDefault="003C1279" w:rsidP="003C1279">
            <w:pPr>
              <w:pStyle w:val="TableContents"/>
              <w:spacing w:line="276" w:lineRule="auto"/>
              <w:ind w:left="-90"/>
              <w:jc w:val="center"/>
              <w:rPr>
                <w:rFonts w:cs="Times New Roman"/>
              </w:rPr>
            </w:pPr>
          </w:p>
        </w:tc>
      </w:tr>
      <w:tr w:rsidR="003C1279" w:rsidRPr="003C1279" w14:paraId="37D76327"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7AAADD9E"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Posterior tight strength</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0804E885"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3F58DC01"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4EFCFA37"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5A17E061"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107BF41"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01410E8A" w14:textId="77777777" w:rsidR="003C1279" w:rsidRPr="003C1279" w:rsidRDefault="003C1279" w:rsidP="003C1279">
            <w:pPr>
              <w:pStyle w:val="TableContents"/>
              <w:spacing w:line="276" w:lineRule="auto"/>
              <w:ind w:left="-90"/>
              <w:jc w:val="center"/>
              <w:rPr>
                <w:rFonts w:cs="Times New Roman"/>
              </w:rPr>
            </w:pPr>
          </w:p>
        </w:tc>
      </w:tr>
      <w:tr w:rsidR="003C1279" w:rsidRPr="003C1279" w14:paraId="670D463A"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5D03B0A6"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SCT</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719CC1AB"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25BEB682"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206C5698"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7742D5FD"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A1843C5"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6FECB5F4" w14:textId="77777777" w:rsidR="003C1279" w:rsidRPr="003C1279" w:rsidRDefault="003C1279" w:rsidP="003C1279">
            <w:pPr>
              <w:pStyle w:val="TableContents"/>
              <w:spacing w:line="276" w:lineRule="auto"/>
              <w:ind w:left="-90"/>
              <w:jc w:val="center"/>
              <w:rPr>
                <w:rFonts w:cs="Times New Roman"/>
              </w:rPr>
            </w:pPr>
          </w:p>
        </w:tc>
      </w:tr>
      <w:tr w:rsidR="003C1279" w:rsidRPr="003C1279" w14:paraId="4CA71942"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034C1131"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PCI</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183C2A6B"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57340564"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01BFB8DB"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33234FC6"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CB82AD5"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70501E4B" w14:textId="77777777" w:rsidR="003C1279" w:rsidRPr="003C1279" w:rsidRDefault="003C1279" w:rsidP="003C1279">
            <w:pPr>
              <w:pStyle w:val="TableContents"/>
              <w:spacing w:line="276" w:lineRule="auto"/>
              <w:ind w:left="-90"/>
              <w:jc w:val="center"/>
              <w:rPr>
                <w:rFonts w:cs="Times New Roman"/>
              </w:rPr>
            </w:pPr>
          </w:p>
        </w:tc>
      </w:tr>
      <w:tr w:rsidR="003C1279" w:rsidRPr="003C1279" w14:paraId="32A79329" w14:textId="77777777" w:rsidTr="00251991">
        <w:tc>
          <w:tcPr>
            <w:tcW w:w="7937" w:type="dxa"/>
            <w:gridSpan w:val="6"/>
            <w:tcBorders>
              <w:left w:val="single" w:sz="2" w:space="0" w:color="000000"/>
              <w:bottom w:val="single" w:sz="2" w:space="0" w:color="000000"/>
              <w:right w:val="single" w:sz="2" w:space="0" w:color="000000"/>
            </w:tcBorders>
            <w:shd w:val="clear" w:color="auto" w:fill="CCCCCC"/>
            <w:tcMar>
              <w:top w:w="55" w:type="dxa"/>
              <w:left w:w="55" w:type="dxa"/>
              <w:bottom w:w="55" w:type="dxa"/>
              <w:right w:w="55" w:type="dxa"/>
            </w:tcMar>
          </w:tcPr>
          <w:p w14:paraId="4180D61D" w14:textId="77777777" w:rsidR="003C1279" w:rsidRPr="003C1279" w:rsidRDefault="003C1279" w:rsidP="003C1279">
            <w:pPr>
              <w:pStyle w:val="TableContents"/>
              <w:spacing w:line="276" w:lineRule="auto"/>
              <w:ind w:left="-90"/>
              <w:rPr>
                <w:rFonts w:cs="Times New Roman"/>
              </w:rPr>
            </w:pPr>
            <w:r w:rsidRPr="003C1279">
              <w:rPr>
                <w:rFonts w:cs="Times New Roman"/>
                <w:i/>
              </w:rPr>
              <w:t>Knee Functionality.</w:t>
            </w:r>
          </w:p>
        </w:tc>
        <w:tc>
          <w:tcPr>
            <w:tcW w:w="1123" w:type="dxa"/>
            <w:tcBorders>
              <w:left w:val="single" w:sz="2" w:space="0" w:color="000000"/>
              <w:bottom w:val="single" w:sz="2" w:space="0" w:color="000000"/>
              <w:right w:val="single" w:sz="2" w:space="0" w:color="000000"/>
            </w:tcBorders>
            <w:shd w:val="clear" w:color="auto" w:fill="CCCCCC"/>
          </w:tcPr>
          <w:p w14:paraId="06A2E7E9" w14:textId="77777777" w:rsidR="003C1279" w:rsidRPr="003C1279" w:rsidRDefault="003C1279" w:rsidP="003C1279">
            <w:pPr>
              <w:pStyle w:val="TableContents"/>
              <w:spacing w:line="276" w:lineRule="auto"/>
              <w:ind w:left="-90"/>
              <w:rPr>
                <w:rFonts w:cs="Times New Roman"/>
                <w:i/>
              </w:rPr>
            </w:pPr>
          </w:p>
        </w:tc>
      </w:tr>
      <w:tr w:rsidR="003C1279" w:rsidRPr="003C1279" w14:paraId="3C4FF480"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61C56A9A"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KSS</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6D97868F"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69121C60"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76D77599"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42C76FE9"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81D04E6"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23" w:type="dxa"/>
            <w:tcBorders>
              <w:left w:val="single" w:sz="2" w:space="0" w:color="000000"/>
              <w:bottom w:val="single" w:sz="2" w:space="0" w:color="000000"/>
              <w:right w:val="single" w:sz="2" w:space="0" w:color="000000"/>
            </w:tcBorders>
          </w:tcPr>
          <w:p w14:paraId="0C51E1CC" w14:textId="77777777" w:rsidR="003C1279" w:rsidRPr="003C1279" w:rsidRDefault="003C1279" w:rsidP="003C1279">
            <w:pPr>
              <w:pStyle w:val="TableContents"/>
              <w:spacing w:line="276" w:lineRule="auto"/>
              <w:ind w:left="-90"/>
              <w:jc w:val="center"/>
              <w:rPr>
                <w:rFonts w:cs="Times New Roman"/>
              </w:rPr>
            </w:pPr>
          </w:p>
        </w:tc>
      </w:tr>
      <w:tr w:rsidR="003C1279" w:rsidRPr="003C1279" w14:paraId="0A7832C6"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62639E7A"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WOMAC</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22C38F34"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43599269"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5E529BC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222F5F77"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E6E0BDC"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23" w:type="dxa"/>
            <w:tcBorders>
              <w:left w:val="single" w:sz="2" w:space="0" w:color="000000"/>
              <w:bottom w:val="single" w:sz="2" w:space="0" w:color="000000"/>
              <w:right w:val="single" w:sz="2" w:space="0" w:color="000000"/>
            </w:tcBorders>
          </w:tcPr>
          <w:p w14:paraId="2EC9B02B"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r>
      <w:tr w:rsidR="003C1279" w:rsidRPr="003C1279" w14:paraId="61C478F5"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40407E8B"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OXFORD</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05435F36"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04A83D63"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4547BD3B"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6C33581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8C7A4DB"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6E0C1D14" w14:textId="77777777" w:rsidR="003C1279" w:rsidRPr="003C1279" w:rsidRDefault="003C1279" w:rsidP="003C1279">
            <w:pPr>
              <w:pStyle w:val="TableContents"/>
              <w:spacing w:line="276" w:lineRule="auto"/>
              <w:ind w:left="-90"/>
              <w:jc w:val="center"/>
              <w:rPr>
                <w:rFonts w:cs="Times New Roman"/>
              </w:rPr>
            </w:pPr>
          </w:p>
        </w:tc>
      </w:tr>
      <w:tr w:rsidR="003C1279" w:rsidRPr="003C1279" w14:paraId="046407BF"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4961300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GRS</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307CABBA"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39D4CBF9"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33A1DB4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63665277"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7767BFD"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477F942B" w14:textId="77777777" w:rsidR="003C1279" w:rsidRPr="003C1279" w:rsidRDefault="003C1279" w:rsidP="003C1279">
            <w:pPr>
              <w:pStyle w:val="TableContents"/>
              <w:spacing w:line="276" w:lineRule="auto"/>
              <w:ind w:left="-90"/>
              <w:jc w:val="center"/>
              <w:rPr>
                <w:rFonts w:cs="Times New Roman"/>
              </w:rPr>
            </w:pPr>
          </w:p>
        </w:tc>
      </w:tr>
      <w:tr w:rsidR="003C1279" w:rsidRPr="003C1279" w14:paraId="7AA99888"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0C89E0DD"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KOS-ADLS</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208433C9"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0AC37406"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0746C108"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406801E2"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11D1ADB"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049C4903" w14:textId="77777777" w:rsidR="003C1279" w:rsidRPr="003C1279" w:rsidRDefault="003C1279" w:rsidP="003C1279">
            <w:pPr>
              <w:pStyle w:val="TableContents"/>
              <w:spacing w:line="276" w:lineRule="auto"/>
              <w:ind w:left="-90"/>
              <w:jc w:val="center"/>
              <w:rPr>
                <w:rFonts w:cs="Times New Roman"/>
              </w:rPr>
            </w:pPr>
          </w:p>
        </w:tc>
      </w:tr>
      <w:tr w:rsidR="003C1279" w:rsidRPr="003C1279" w14:paraId="43BF01F8"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574D8C32"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HSS</w:t>
            </w:r>
          </w:p>
        </w:tc>
        <w:tc>
          <w:tcPr>
            <w:tcW w:w="992" w:type="dxa"/>
            <w:tcBorders>
              <w:left w:val="single" w:sz="2" w:space="0" w:color="000000"/>
              <w:bottom w:val="single" w:sz="2" w:space="0" w:color="000000"/>
            </w:tcBorders>
            <w:tcMar>
              <w:top w:w="55" w:type="dxa"/>
              <w:left w:w="55" w:type="dxa"/>
              <w:bottom w:w="55" w:type="dxa"/>
              <w:right w:w="55" w:type="dxa"/>
            </w:tcMar>
            <w:vAlign w:val="center"/>
          </w:tcPr>
          <w:p w14:paraId="55083E7E"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385249EE"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47EB075A"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vAlign w:val="center"/>
          </w:tcPr>
          <w:p w14:paraId="1E85E402"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188F22D"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4DBF6CD5" w14:textId="77777777" w:rsidR="003C1279" w:rsidRPr="003C1279" w:rsidRDefault="003C1279" w:rsidP="003C1279">
            <w:pPr>
              <w:pStyle w:val="TableContents"/>
              <w:spacing w:line="276" w:lineRule="auto"/>
              <w:ind w:left="-90"/>
              <w:jc w:val="center"/>
              <w:rPr>
                <w:rFonts w:cs="Times New Roman"/>
              </w:rPr>
            </w:pPr>
          </w:p>
        </w:tc>
      </w:tr>
      <w:tr w:rsidR="003C1279" w:rsidRPr="003C1279" w14:paraId="5A4AC29F" w14:textId="77777777" w:rsidTr="00251991">
        <w:tc>
          <w:tcPr>
            <w:tcW w:w="2420" w:type="dxa"/>
            <w:tcBorders>
              <w:left w:val="single" w:sz="2" w:space="0" w:color="000000"/>
              <w:bottom w:val="single" w:sz="2" w:space="0" w:color="000000"/>
            </w:tcBorders>
            <w:tcMar>
              <w:top w:w="55" w:type="dxa"/>
              <w:left w:w="55" w:type="dxa"/>
              <w:bottom w:w="55" w:type="dxa"/>
              <w:right w:w="55" w:type="dxa"/>
            </w:tcMar>
          </w:tcPr>
          <w:p w14:paraId="11BB51BA"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SF-36</w:t>
            </w:r>
          </w:p>
        </w:tc>
        <w:tc>
          <w:tcPr>
            <w:tcW w:w="992" w:type="dxa"/>
            <w:tcBorders>
              <w:left w:val="single" w:sz="2" w:space="0" w:color="000000"/>
              <w:bottom w:val="single" w:sz="2" w:space="0" w:color="000000"/>
            </w:tcBorders>
            <w:tcMar>
              <w:top w:w="55" w:type="dxa"/>
              <w:left w:w="55" w:type="dxa"/>
              <w:bottom w:w="55" w:type="dxa"/>
              <w:right w:w="55" w:type="dxa"/>
            </w:tcMar>
          </w:tcPr>
          <w:p w14:paraId="5A3AFCBF" w14:textId="77777777" w:rsidR="003C1279" w:rsidRPr="003C1279" w:rsidRDefault="003C1279" w:rsidP="003C1279">
            <w:pPr>
              <w:pStyle w:val="TableContents"/>
              <w:spacing w:line="276" w:lineRule="auto"/>
              <w:ind w:left="-90"/>
              <w:jc w:val="center"/>
              <w:rPr>
                <w:rFonts w:cs="Times New Roman"/>
              </w:rPr>
            </w:pPr>
          </w:p>
        </w:tc>
        <w:tc>
          <w:tcPr>
            <w:tcW w:w="1134" w:type="dxa"/>
            <w:tcBorders>
              <w:left w:val="single" w:sz="2" w:space="0" w:color="000000"/>
              <w:bottom w:val="single" w:sz="2" w:space="0" w:color="000000"/>
            </w:tcBorders>
            <w:tcMar>
              <w:top w:w="55" w:type="dxa"/>
              <w:left w:w="55" w:type="dxa"/>
              <w:bottom w:w="55" w:type="dxa"/>
              <w:right w:w="55" w:type="dxa"/>
            </w:tcMar>
          </w:tcPr>
          <w:p w14:paraId="23FF23B9"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tcPr>
          <w:p w14:paraId="0E0A3F1C"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34" w:type="dxa"/>
            <w:tcBorders>
              <w:left w:val="single" w:sz="2" w:space="0" w:color="000000"/>
              <w:bottom w:val="single" w:sz="2" w:space="0" w:color="000000"/>
            </w:tcBorders>
            <w:tcMar>
              <w:top w:w="55" w:type="dxa"/>
              <w:left w:w="55" w:type="dxa"/>
              <w:bottom w:w="55" w:type="dxa"/>
              <w:right w:w="55" w:type="dxa"/>
            </w:tcMar>
          </w:tcPr>
          <w:p w14:paraId="3A23D2EA"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c>
          <w:tcPr>
            <w:tcW w:w="1123" w:type="dxa"/>
            <w:tcBorders>
              <w:left w:val="single" w:sz="2" w:space="0" w:color="000000"/>
              <w:bottom w:val="single" w:sz="2" w:space="0" w:color="000000"/>
              <w:right w:val="single" w:sz="2" w:space="0" w:color="000000"/>
            </w:tcBorders>
            <w:tcMar>
              <w:top w:w="55" w:type="dxa"/>
              <w:left w:w="55" w:type="dxa"/>
              <w:bottom w:w="55" w:type="dxa"/>
              <w:right w:w="55" w:type="dxa"/>
            </w:tcMar>
          </w:tcPr>
          <w:p w14:paraId="0B5F2843" w14:textId="77777777" w:rsidR="003C1279" w:rsidRPr="003C1279" w:rsidRDefault="003C1279" w:rsidP="003C1279">
            <w:pPr>
              <w:pStyle w:val="TableContents"/>
              <w:spacing w:line="276" w:lineRule="auto"/>
              <w:ind w:left="-90"/>
              <w:jc w:val="center"/>
              <w:rPr>
                <w:rFonts w:cs="Times New Roman"/>
              </w:rPr>
            </w:pPr>
          </w:p>
        </w:tc>
        <w:tc>
          <w:tcPr>
            <w:tcW w:w="1123" w:type="dxa"/>
            <w:tcBorders>
              <w:left w:val="single" w:sz="2" w:space="0" w:color="000000"/>
              <w:bottom w:val="single" w:sz="2" w:space="0" w:color="000000"/>
              <w:right w:val="single" w:sz="2" w:space="0" w:color="000000"/>
            </w:tcBorders>
          </w:tcPr>
          <w:p w14:paraId="5C98503B" w14:textId="77777777" w:rsidR="003C1279" w:rsidRPr="003C1279" w:rsidRDefault="003C1279" w:rsidP="003C1279">
            <w:pPr>
              <w:pStyle w:val="TableContents"/>
              <w:spacing w:line="276" w:lineRule="auto"/>
              <w:ind w:left="-90"/>
              <w:jc w:val="center"/>
              <w:rPr>
                <w:rFonts w:cs="Times New Roman"/>
              </w:rPr>
            </w:pPr>
            <w:r w:rsidRPr="003C1279">
              <w:rPr>
                <w:rFonts w:cs="Times New Roman"/>
              </w:rPr>
              <w:t>X</w:t>
            </w:r>
          </w:p>
        </w:tc>
      </w:tr>
    </w:tbl>
    <w:p w14:paraId="6EEB197D" w14:textId="223EEFF3" w:rsidR="00C724D8" w:rsidRPr="003C1279" w:rsidRDefault="00C724D8" w:rsidP="003C1279">
      <w:pPr>
        <w:pStyle w:val="Standard"/>
        <w:autoSpaceDE w:val="0"/>
        <w:spacing w:line="276" w:lineRule="auto"/>
        <w:ind w:left="-90"/>
        <w:jc w:val="both"/>
        <w:rPr>
          <w:rFonts w:cs="Times New Roman"/>
        </w:rPr>
      </w:pPr>
    </w:p>
    <w:sectPr w:rsidR="00C724D8" w:rsidRPr="003C1279" w:rsidSect="003C1279">
      <w:footerReference w:type="default" r:id="rId12"/>
      <w:endnotePr>
        <w:numFmt w:val="decimal"/>
      </w:endnotePr>
      <w:pgSz w:w="11906" w:h="16838"/>
      <w:pgMar w:top="720" w:right="926" w:bottom="1644" w:left="2268" w:header="720" w:footer="1304"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p berkeley" w:date="2016-12-02T16:38:00Z" w:initials="pb">
    <w:p w14:paraId="4C3DB1D1" w14:textId="77777777" w:rsidR="003F2976" w:rsidRDefault="003F2976" w:rsidP="003F2976">
      <w:pPr>
        <w:pStyle w:val="Testocommento"/>
        <w:rPr>
          <w:lang w:val="it-IT"/>
        </w:rPr>
      </w:pPr>
      <w:r>
        <w:rPr>
          <w:rStyle w:val="Rimandocommento"/>
          <w:rFonts w:cs="Tahoma"/>
        </w:rPr>
        <w:annotationRef/>
      </w:r>
      <w:r w:rsidRPr="003F2976">
        <w:rPr>
          <w:lang w:val="it-IT"/>
        </w:rPr>
        <w:t xml:space="preserve">Ecco la citazione se ti serve: </w:t>
      </w:r>
    </w:p>
    <w:p w14:paraId="75DB7DDB" w14:textId="77777777" w:rsidR="00000000" w:rsidRDefault="003F2976" w:rsidP="003F2976">
      <w:pPr>
        <w:pStyle w:val="Testocommento"/>
      </w:pPr>
      <w:r w:rsidRPr="003C1279">
        <w:t xml:space="preserve">R Core Team (2016). </w:t>
      </w:r>
      <w:r>
        <w:t>R: A language and environment for statistical computing. R Foundation   for Statistical Computing, Vienna, Austria.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5DB7DD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5DB7DDB" w16cid:durableId="213BC6D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324AD8" w14:textId="77777777" w:rsidR="003D7064" w:rsidRDefault="003D7064">
      <w:r>
        <w:separator/>
      </w:r>
    </w:p>
  </w:endnote>
  <w:endnote w:type="continuationSeparator" w:id="0">
    <w:p w14:paraId="5B643553" w14:textId="77777777" w:rsidR="003D7064" w:rsidRDefault="003D70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Segoe UI">
    <w:altName w:val="Century Gothic"/>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9EAF0E" w14:textId="77777777" w:rsidR="0093736A" w:rsidRDefault="00FD159B">
    <w:pPr>
      <w:pStyle w:val="Pidipagina"/>
      <w:spacing w:line="360" w:lineRule="auto"/>
      <w:jc w:val="center"/>
    </w:pPr>
    <w:r>
      <w:fldChar w:fldCharType="begin"/>
    </w:r>
    <w:r>
      <w:instrText xml:space="preserve"> PAGE </w:instrText>
    </w:r>
    <w:r>
      <w:fldChar w:fldCharType="separate"/>
    </w:r>
    <w:r w:rsidR="0020483D">
      <w:rPr>
        <w:noProof/>
      </w:rPr>
      <w:t>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3F337B" w14:textId="77777777" w:rsidR="003D7064" w:rsidRDefault="003D7064">
      <w:r>
        <w:rPr>
          <w:color w:val="000000"/>
        </w:rPr>
        <w:separator/>
      </w:r>
    </w:p>
  </w:footnote>
  <w:footnote w:type="continuationSeparator" w:id="0">
    <w:p w14:paraId="1FDED717" w14:textId="77777777" w:rsidR="003D7064" w:rsidRDefault="003D7064">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 berkeley">
    <w15:presenceInfo w15:providerId="Windows Live" w15:userId="16d97b7dd27904e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efaultTabStop w:val="706"/>
  <w:autoHyphenation/>
  <w:hyphenationZone w:val="283"/>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4D8"/>
    <w:rsid w:val="00026F67"/>
    <w:rsid w:val="000C6B9E"/>
    <w:rsid w:val="001143D8"/>
    <w:rsid w:val="00121BCA"/>
    <w:rsid w:val="00135E57"/>
    <w:rsid w:val="00142827"/>
    <w:rsid w:val="001545A1"/>
    <w:rsid w:val="00164C1D"/>
    <w:rsid w:val="001711D9"/>
    <w:rsid w:val="001A70FD"/>
    <w:rsid w:val="001B364B"/>
    <w:rsid w:val="0020483D"/>
    <w:rsid w:val="00212549"/>
    <w:rsid w:val="00244EE9"/>
    <w:rsid w:val="00246FC1"/>
    <w:rsid w:val="00274593"/>
    <w:rsid w:val="002A555A"/>
    <w:rsid w:val="002C379D"/>
    <w:rsid w:val="002F036A"/>
    <w:rsid w:val="00324D96"/>
    <w:rsid w:val="00336313"/>
    <w:rsid w:val="00374FFF"/>
    <w:rsid w:val="003C1279"/>
    <w:rsid w:val="003D7064"/>
    <w:rsid w:val="003F2976"/>
    <w:rsid w:val="004857F6"/>
    <w:rsid w:val="0058078C"/>
    <w:rsid w:val="005E7251"/>
    <w:rsid w:val="00683E59"/>
    <w:rsid w:val="006A2241"/>
    <w:rsid w:val="006E34C1"/>
    <w:rsid w:val="006F77D6"/>
    <w:rsid w:val="00730FB6"/>
    <w:rsid w:val="00746362"/>
    <w:rsid w:val="007653CB"/>
    <w:rsid w:val="007B582D"/>
    <w:rsid w:val="00862774"/>
    <w:rsid w:val="00897BCD"/>
    <w:rsid w:val="008D1C3B"/>
    <w:rsid w:val="008E1D6F"/>
    <w:rsid w:val="00900A15"/>
    <w:rsid w:val="009268F6"/>
    <w:rsid w:val="0093736A"/>
    <w:rsid w:val="009A72DE"/>
    <w:rsid w:val="009D7C9C"/>
    <w:rsid w:val="009E6A87"/>
    <w:rsid w:val="00AC48E9"/>
    <w:rsid w:val="00AD566C"/>
    <w:rsid w:val="00B02D7C"/>
    <w:rsid w:val="00BD6509"/>
    <w:rsid w:val="00C11F63"/>
    <w:rsid w:val="00C12054"/>
    <w:rsid w:val="00C724D8"/>
    <w:rsid w:val="00C830B3"/>
    <w:rsid w:val="00C83EC3"/>
    <w:rsid w:val="00CD2A5D"/>
    <w:rsid w:val="00CF1F7D"/>
    <w:rsid w:val="00D06FF0"/>
    <w:rsid w:val="00D42154"/>
    <w:rsid w:val="00D51892"/>
    <w:rsid w:val="00D62801"/>
    <w:rsid w:val="00D64AB9"/>
    <w:rsid w:val="00D855B1"/>
    <w:rsid w:val="00D87CD3"/>
    <w:rsid w:val="00D9543B"/>
    <w:rsid w:val="00E66ADC"/>
    <w:rsid w:val="00EE6501"/>
    <w:rsid w:val="00F015E0"/>
    <w:rsid w:val="00F473C6"/>
    <w:rsid w:val="00F93EE8"/>
    <w:rsid w:val="00FD159B"/>
    <w:rsid w:val="00FE3DC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5CB1DB19"/>
  <w14:defaultImageDpi w14:val="0"/>
  <w15:docId w15:val="{F4AB4620-5162-45DF-8949-FD6728145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locked="1" w:uiPriority="0" w:qFormat="1"/>
    <w:lsdException w:name="heading 1" w:locked="1" w:uiPriority="9" w:qFormat="1"/>
    <w:lsdException w:name="heading 2" w:locked="1" w:uiPriority="9"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lsdException w:name="footnote text" w:locked="1"/>
    <w:lsdException w:name="annotation text" w:locked="1"/>
    <w:lsdException w:name="header" w:locked="1"/>
    <w:lsdException w:name="footer" w:locked="1"/>
    <w:lsdException w:name="index heading" w:locked="1"/>
    <w:lsdException w:name="caption" w:locked="1" w:uiPriority="35"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semiHidden="1" w:unhideWhenUsed="1"/>
    <w:lsdException w:name="List 2" w:locked="1"/>
    <w:lsdException w:name="List 3" w:locked="1"/>
    <w:lsdException w:name="List 4" w:locked="1" w:semiHidden="1" w:unhideWhenUsed="1"/>
    <w:lsdException w:name="List 5" w:locked="1" w:semiHidden="1" w:unhideWhenUs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uiPriority="10" w:qFormat="1"/>
    <w:lsdException w:name="Closing" w:locked="1"/>
    <w:lsdException w:name="Signature" w:locked="1"/>
    <w:lsdException w:name="Default Paragraph Font" w:locked="1" w:semiHidden="1" w:uiPriority="1" w:unhideWhenUs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uiPriority="22" w:qFormat="1"/>
    <w:lsdException w:name="Emphasis" w:locked="1" w:uiPriority="2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locked="1" w:uiPriority="59"/>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pPr>
      <w:widowControl w:val="0"/>
      <w:suppressAutoHyphens/>
      <w:autoSpaceDN w:val="0"/>
      <w:spacing w:after="0" w:line="240" w:lineRule="auto"/>
      <w:textAlignment w:val="baseline"/>
    </w:pPr>
    <w:rPr>
      <w:rFonts w:cs="Tahoma"/>
      <w:kern w:val="3"/>
      <w:sz w:val="24"/>
      <w:szCs w:val="24"/>
      <w:lang w:eastAsia="ja-JP" w:bidi="fa-IR"/>
    </w:rPr>
  </w:style>
  <w:style w:type="paragraph" w:styleId="Titolo1">
    <w:name w:val="heading 1"/>
    <w:basedOn w:val="Normale"/>
    <w:next w:val="Normale"/>
    <w:link w:val="Titolo1Carattere"/>
    <w:uiPriority w:val="99"/>
    <w:qFormat/>
    <w:pPr>
      <w:keepNext/>
      <w:widowControl/>
      <w:spacing w:before="280" w:line="480" w:lineRule="auto"/>
      <w:jc w:val="both"/>
      <w:textAlignment w:val="auto"/>
      <w:outlineLvl w:val="0"/>
    </w:pPr>
    <w:rPr>
      <w:rFonts w:cs="Times New Roman"/>
      <w:b/>
      <w:bCs/>
      <w:color w:val="0000FF"/>
      <w:kern w:val="0"/>
      <w:lang w:val="it-IT" w:eastAsia="ar-SA" w:bidi="ar-SA"/>
    </w:rPr>
  </w:style>
  <w:style w:type="paragraph" w:styleId="Titolo2">
    <w:name w:val="heading 2"/>
    <w:basedOn w:val="Normale"/>
    <w:next w:val="Normale"/>
    <w:link w:val="Titolo2Carattere"/>
    <w:uiPriority w:val="99"/>
    <w:qFormat/>
    <w:pPr>
      <w:keepNext/>
      <w:widowControl/>
      <w:spacing w:line="480" w:lineRule="auto"/>
      <w:jc w:val="center"/>
      <w:textAlignment w:val="auto"/>
      <w:outlineLvl w:val="1"/>
    </w:pPr>
    <w:rPr>
      <w:rFonts w:cs="Times New Roman"/>
      <w:b/>
      <w:kern w:val="0"/>
      <w:lang w:val="it-IT" w:eastAsia="ar-SA" w:bidi="ar-SA"/>
    </w:rPr>
  </w:style>
  <w:style w:type="character" w:default="1" w:styleId="Carpredefinitoparagrafo">
    <w:name w:val="Default Paragraph Font"/>
    <w:uiPriority w:val="99"/>
    <w:semiHidden/>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Heading">
    <w:name w:val="Heading"/>
    <w:basedOn w:val="Normale"/>
    <w:uiPriority w:val="99"/>
    <w:pPr>
      <w:tabs>
        <w:tab w:val="center" w:pos="4819"/>
        <w:tab w:val="right" w:pos="9638"/>
      </w:tabs>
    </w:pPr>
  </w:style>
  <w:style w:type="paragraph" w:customStyle="1" w:styleId="Standard">
    <w:name w:val="Standard"/>
    <w:uiPriority w:val="99"/>
    <w:pPr>
      <w:widowControl w:val="0"/>
      <w:suppressAutoHyphens/>
      <w:autoSpaceDN w:val="0"/>
      <w:spacing w:after="0" w:line="240" w:lineRule="auto"/>
      <w:textAlignment w:val="baseline"/>
    </w:pPr>
    <w:rPr>
      <w:rFonts w:cs="Tahoma"/>
      <w:kern w:val="3"/>
      <w:sz w:val="24"/>
      <w:szCs w:val="24"/>
      <w:lang w:eastAsia="ja-JP" w:bidi="fa-IR"/>
    </w:rPr>
  </w:style>
  <w:style w:type="character" w:customStyle="1" w:styleId="Titolo2Carattere">
    <w:name w:val="Titolo 2 Carattere"/>
    <w:basedOn w:val="Carpredefinitoparagrafo"/>
    <w:link w:val="Titolo2"/>
    <w:uiPriority w:val="99"/>
    <w:locked/>
    <w:rPr>
      <w:rFonts w:eastAsia="Times New Roman" w:cs="Times New Roman"/>
      <w:b/>
      <w:kern w:val="0"/>
      <w:lang w:val="it-IT" w:eastAsia="ar-SA" w:bidi="ar-SA"/>
    </w:rPr>
  </w:style>
  <w:style w:type="character" w:customStyle="1" w:styleId="Titolo1Carattere">
    <w:name w:val="Titolo 1 Carattere"/>
    <w:basedOn w:val="Carpredefinitoparagrafo"/>
    <w:link w:val="Titolo1"/>
    <w:uiPriority w:val="99"/>
    <w:locked/>
    <w:rPr>
      <w:rFonts w:eastAsia="Times New Roman" w:cs="Times New Roman"/>
      <w:b/>
      <w:bCs/>
      <w:color w:val="0000FF"/>
      <w:kern w:val="0"/>
      <w:lang w:val="it-IT" w:eastAsia="ar-SA" w:bidi="ar-SA"/>
    </w:rPr>
  </w:style>
  <w:style w:type="paragraph" w:customStyle="1" w:styleId="Textbody">
    <w:name w:val="Text body"/>
    <w:basedOn w:val="Standard"/>
    <w:uiPriority w:val="99"/>
    <w:pPr>
      <w:spacing w:after="120"/>
    </w:pPr>
  </w:style>
  <w:style w:type="paragraph" w:styleId="Elenco">
    <w:name w:val="List"/>
    <w:basedOn w:val="Textbody"/>
    <w:uiPriority w:val="99"/>
  </w:style>
  <w:style w:type="paragraph" w:styleId="Didascalia">
    <w:name w:val="caption"/>
    <w:basedOn w:val="Standard"/>
    <w:uiPriority w:val="99"/>
    <w:qFormat/>
    <w:pPr>
      <w:suppressLineNumbers/>
      <w:spacing w:before="120" w:after="120"/>
    </w:pPr>
    <w:rPr>
      <w:i/>
      <w:iCs/>
    </w:rPr>
  </w:style>
  <w:style w:type="paragraph" w:customStyle="1" w:styleId="Index">
    <w:name w:val="Index"/>
    <w:basedOn w:val="Standard"/>
    <w:uiPriority w:val="99"/>
    <w:pPr>
      <w:suppressLineNumbers/>
    </w:pPr>
  </w:style>
  <w:style w:type="paragraph" w:customStyle="1" w:styleId="Bibliography1">
    <w:name w:val="Bibliography 1"/>
    <w:basedOn w:val="Index"/>
    <w:uiPriority w:val="99"/>
    <w:pPr>
      <w:tabs>
        <w:tab w:val="left" w:pos="768"/>
      </w:tabs>
      <w:spacing w:after="240" w:line="240" w:lineRule="atLeast"/>
      <w:ind w:left="384" w:hanging="384"/>
    </w:pPr>
  </w:style>
  <w:style w:type="paragraph" w:customStyle="1" w:styleId="TableContents">
    <w:name w:val="Table Contents"/>
    <w:basedOn w:val="Standard"/>
    <w:pPr>
      <w:suppressLineNumbers/>
    </w:pPr>
  </w:style>
  <w:style w:type="paragraph" w:customStyle="1" w:styleId="TableHeading">
    <w:name w:val="Table Heading"/>
    <w:basedOn w:val="TableContents"/>
    <w:uiPriority w:val="99"/>
    <w:pPr>
      <w:jc w:val="center"/>
    </w:pPr>
    <w:rPr>
      <w:b/>
      <w:bCs/>
    </w:rPr>
  </w:style>
  <w:style w:type="paragraph" w:styleId="Pidipagina">
    <w:name w:val="footer"/>
    <w:basedOn w:val="Standard"/>
    <w:next w:val="Footerright"/>
    <w:link w:val="PidipaginaCarattere"/>
    <w:uiPriority w:val="99"/>
    <w:pPr>
      <w:suppressLineNumbers/>
      <w:tabs>
        <w:tab w:val="center" w:pos="3968"/>
        <w:tab w:val="right" w:pos="7937"/>
      </w:tabs>
    </w:pPr>
  </w:style>
  <w:style w:type="paragraph" w:customStyle="1" w:styleId="Footnote">
    <w:name w:val="Footnote"/>
    <w:basedOn w:val="Standard"/>
    <w:uiPriority w:val="99"/>
    <w:pPr>
      <w:suppressLineNumbers/>
      <w:ind w:left="283" w:hanging="283"/>
    </w:pPr>
    <w:rPr>
      <w:sz w:val="20"/>
      <w:szCs w:val="20"/>
    </w:rPr>
  </w:style>
  <w:style w:type="paragraph" w:customStyle="1" w:styleId="Footerright">
    <w:name w:val="Footer right"/>
    <w:basedOn w:val="Standard"/>
    <w:uiPriority w:val="99"/>
    <w:pPr>
      <w:suppressLineNumbers/>
      <w:tabs>
        <w:tab w:val="center" w:pos="3968"/>
        <w:tab w:val="right" w:pos="7937"/>
      </w:tabs>
    </w:pPr>
  </w:style>
  <w:style w:type="character" w:customStyle="1" w:styleId="PidipaginaCarattere">
    <w:name w:val="Piè di pagina Carattere"/>
    <w:basedOn w:val="Carpredefinitoparagrafo"/>
    <w:link w:val="Pidipagina"/>
    <w:uiPriority w:val="99"/>
    <w:semiHidden/>
    <w:locked/>
    <w:rPr>
      <w:rFonts w:cs="Tahoma"/>
      <w:lang w:bidi="fa-IR"/>
    </w:rPr>
  </w:style>
  <w:style w:type="paragraph" w:styleId="Testonotadichiusura">
    <w:name w:val="endnote text"/>
    <w:basedOn w:val="Normale"/>
    <w:link w:val="TestonotadichiusuraCarattere"/>
    <w:uiPriority w:val="99"/>
    <w:rPr>
      <w:sz w:val="20"/>
      <w:szCs w:val="20"/>
    </w:rPr>
  </w:style>
  <w:style w:type="character" w:customStyle="1" w:styleId="NumberingSymbols">
    <w:name w:val="Numbering Symbols"/>
    <w:uiPriority w:val="99"/>
  </w:style>
  <w:style w:type="paragraph" w:customStyle="1" w:styleId="Endnote">
    <w:name w:val="Endnote"/>
    <w:basedOn w:val="Standard"/>
    <w:uiPriority w:val="99"/>
    <w:pPr>
      <w:suppressLineNumbers/>
      <w:ind w:left="283" w:hanging="283"/>
    </w:pPr>
    <w:rPr>
      <w:sz w:val="20"/>
      <w:szCs w:val="20"/>
    </w:rPr>
  </w:style>
  <w:style w:type="character" w:customStyle="1" w:styleId="TestonotadichiusuraCarattere">
    <w:name w:val="Testo nota di chiusura Carattere"/>
    <w:basedOn w:val="Carpredefinitoparagrafo"/>
    <w:link w:val="Testonotadichiusura"/>
    <w:uiPriority w:val="99"/>
    <w:locked/>
    <w:rPr>
      <w:rFonts w:cs="Times New Roman"/>
      <w:sz w:val="20"/>
      <w:szCs w:val="20"/>
    </w:rPr>
  </w:style>
  <w:style w:type="character" w:customStyle="1" w:styleId="BulletSymbols">
    <w:name w:val="Bullet Symbols"/>
    <w:uiPriority w:val="99"/>
    <w:rPr>
      <w:rFonts w:ascii="OpenSymbol" w:hAnsi="OpenSymbol"/>
    </w:rPr>
  </w:style>
  <w:style w:type="character" w:customStyle="1" w:styleId="FootnoteSymbol">
    <w:name w:val="Footnote Symbol"/>
    <w:uiPriority w:val="99"/>
  </w:style>
  <w:style w:type="character" w:customStyle="1" w:styleId="Footnoteanchor">
    <w:name w:val="Footnote anchor"/>
    <w:uiPriority w:val="99"/>
    <w:rPr>
      <w:position w:val="0"/>
      <w:vertAlign w:val="superscript"/>
    </w:rPr>
  </w:style>
  <w:style w:type="character" w:styleId="Rimandonotadichiusura">
    <w:name w:val="endnote reference"/>
    <w:basedOn w:val="Carpredefinitoparagrafo"/>
    <w:uiPriority w:val="99"/>
    <w:rPr>
      <w:rFonts w:cs="Times New Roman"/>
      <w:position w:val="0"/>
      <w:vertAlign w:val="superscript"/>
    </w:rPr>
  </w:style>
  <w:style w:type="character" w:customStyle="1" w:styleId="EndnoteSymbol">
    <w:name w:val="Endnote Symbol"/>
    <w:uiPriority w:val="99"/>
  </w:style>
  <w:style w:type="character" w:customStyle="1" w:styleId="IntestazioneCarattere">
    <w:name w:val="Intestazione Carattere"/>
    <w:basedOn w:val="Carpredefinitoparagrafo"/>
    <w:uiPriority w:val="99"/>
    <w:rPr>
      <w:rFonts w:cs="Times New Roman"/>
    </w:rPr>
  </w:style>
  <w:style w:type="character" w:styleId="Collegamentoipertestuale">
    <w:name w:val="Hyperlink"/>
    <w:basedOn w:val="Carpredefinitoparagrafo"/>
    <w:uiPriority w:val="99"/>
    <w:rPr>
      <w:rFonts w:cs="Times New Roman"/>
      <w:color w:val="0000FF"/>
      <w:u w:val="single"/>
    </w:rPr>
  </w:style>
  <w:style w:type="character" w:styleId="Rimandocommento">
    <w:name w:val="annotation reference"/>
    <w:basedOn w:val="Carpredefinitoparagrafo"/>
    <w:uiPriority w:val="99"/>
    <w:locked/>
    <w:rsid w:val="003F2976"/>
    <w:rPr>
      <w:rFonts w:cs="Times New Roman"/>
      <w:sz w:val="16"/>
      <w:szCs w:val="16"/>
    </w:rPr>
  </w:style>
  <w:style w:type="paragraph" w:styleId="Testocommento">
    <w:name w:val="annotation text"/>
    <w:basedOn w:val="Normale"/>
    <w:link w:val="TestocommentoCarattere"/>
    <w:uiPriority w:val="99"/>
    <w:locked/>
    <w:rsid w:val="003F2976"/>
    <w:rPr>
      <w:sz w:val="20"/>
      <w:szCs w:val="20"/>
    </w:rPr>
  </w:style>
  <w:style w:type="paragraph" w:styleId="Soggettocommento">
    <w:name w:val="annotation subject"/>
    <w:basedOn w:val="Testocommento"/>
    <w:next w:val="Testocommento"/>
    <w:link w:val="SoggettocommentoCarattere"/>
    <w:uiPriority w:val="99"/>
    <w:locked/>
    <w:rsid w:val="003F2976"/>
    <w:rPr>
      <w:b/>
      <w:bCs/>
    </w:rPr>
  </w:style>
  <w:style w:type="character" w:customStyle="1" w:styleId="TestocommentoCarattere">
    <w:name w:val="Testo commento Carattere"/>
    <w:basedOn w:val="Carpredefinitoparagrafo"/>
    <w:link w:val="Testocommento"/>
    <w:uiPriority w:val="99"/>
    <w:locked/>
    <w:rsid w:val="003F2976"/>
    <w:rPr>
      <w:rFonts w:cs="Tahoma"/>
      <w:kern w:val="3"/>
      <w:sz w:val="20"/>
      <w:szCs w:val="20"/>
      <w:lang w:val="en-US" w:eastAsia="ja-JP" w:bidi="fa-IR"/>
    </w:rPr>
  </w:style>
  <w:style w:type="paragraph" w:styleId="Testofumetto">
    <w:name w:val="Balloon Text"/>
    <w:basedOn w:val="Normale"/>
    <w:link w:val="TestofumettoCarattere"/>
    <w:uiPriority w:val="99"/>
    <w:locked/>
    <w:rsid w:val="003F2976"/>
    <w:rPr>
      <w:rFonts w:ascii="Segoe UI" w:hAnsi="Segoe UI" w:cs="Segoe UI"/>
      <w:sz w:val="18"/>
      <w:szCs w:val="18"/>
    </w:rPr>
  </w:style>
  <w:style w:type="character" w:customStyle="1" w:styleId="SoggettocommentoCarattere">
    <w:name w:val="Soggetto commento Carattere"/>
    <w:basedOn w:val="TestocommentoCarattere"/>
    <w:link w:val="Soggettocommento"/>
    <w:uiPriority w:val="99"/>
    <w:locked/>
    <w:rsid w:val="003F2976"/>
    <w:rPr>
      <w:rFonts w:cs="Tahoma"/>
      <w:b/>
      <w:bCs/>
      <w:kern w:val="3"/>
      <w:sz w:val="20"/>
      <w:szCs w:val="20"/>
      <w:lang w:val="en-US" w:eastAsia="ja-JP" w:bidi="fa-IR"/>
    </w:rPr>
  </w:style>
  <w:style w:type="character" w:customStyle="1" w:styleId="TestofumettoCarattere">
    <w:name w:val="Testo fumetto Carattere"/>
    <w:basedOn w:val="Carpredefinitoparagrafo"/>
    <w:link w:val="Testofumetto"/>
    <w:uiPriority w:val="99"/>
    <w:locked/>
    <w:rsid w:val="003F2976"/>
    <w:rPr>
      <w:rFonts w:ascii="Segoe UI" w:hAnsi="Segoe UI" w:cs="Segoe UI"/>
      <w:kern w:val="3"/>
      <w:sz w:val="18"/>
      <w:szCs w:val="18"/>
      <w:lang w:val="en-US" w:eastAsia="ja-JP" w:bidi="fa-I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8444567">
      <w:marLeft w:val="0"/>
      <w:marRight w:val="0"/>
      <w:marTop w:val="0"/>
      <w:marBottom w:val="0"/>
      <w:divBdr>
        <w:top w:val="none" w:sz="0" w:space="0" w:color="auto"/>
        <w:left w:val="none" w:sz="0" w:space="0" w:color="auto"/>
        <w:bottom w:val="none" w:sz="0" w:space="0" w:color="auto"/>
        <w:right w:val="none" w:sz="0" w:space="0" w:color="auto"/>
      </w:divBdr>
    </w:div>
    <w:div w:id="218444568">
      <w:marLeft w:val="0"/>
      <w:marRight w:val="0"/>
      <w:marTop w:val="0"/>
      <w:marBottom w:val="0"/>
      <w:divBdr>
        <w:top w:val="none" w:sz="0" w:space="0" w:color="auto"/>
        <w:left w:val="none" w:sz="0" w:space="0" w:color="auto"/>
        <w:bottom w:val="none" w:sz="0" w:space="0" w:color="auto"/>
        <w:right w:val="none" w:sz="0" w:space="0" w:color="auto"/>
      </w:divBdr>
      <w:divsChild>
        <w:div w:id="218444571">
          <w:marLeft w:val="0"/>
          <w:marRight w:val="0"/>
          <w:marTop w:val="0"/>
          <w:marBottom w:val="0"/>
          <w:divBdr>
            <w:top w:val="none" w:sz="0" w:space="0" w:color="auto"/>
            <w:left w:val="none" w:sz="0" w:space="0" w:color="auto"/>
            <w:bottom w:val="none" w:sz="0" w:space="0" w:color="auto"/>
            <w:right w:val="none" w:sz="0" w:space="0" w:color="auto"/>
          </w:divBdr>
          <w:divsChild>
            <w:div w:id="21844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444569">
      <w:marLeft w:val="0"/>
      <w:marRight w:val="0"/>
      <w:marTop w:val="0"/>
      <w:marBottom w:val="0"/>
      <w:divBdr>
        <w:top w:val="none" w:sz="0" w:space="0" w:color="auto"/>
        <w:left w:val="none" w:sz="0" w:space="0" w:color="auto"/>
        <w:bottom w:val="none" w:sz="0" w:space="0" w:color="auto"/>
        <w:right w:val="none" w:sz="0" w:space="0" w:color="auto"/>
      </w:divBdr>
      <w:divsChild>
        <w:div w:id="218444573">
          <w:marLeft w:val="0"/>
          <w:marRight w:val="0"/>
          <w:marTop w:val="0"/>
          <w:marBottom w:val="0"/>
          <w:divBdr>
            <w:top w:val="none" w:sz="0" w:space="0" w:color="auto"/>
            <w:left w:val="none" w:sz="0" w:space="0" w:color="auto"/>
            <w:bottom w:val="none" w:sz="0" w:space="0" w:color="auto"/>
            <w:right w:val="none" w:sz="0" w:space="0" w:color="auto"/>
          </w:divBdr>
          <w:divsChild>
            <w:div w:id="21844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fontTable" Target="fontTable.xml"/><Relationship Id="rId3" Type="http://schemas.openxmlformats.org/officeDocument/2006/relationships/webSettings" Target="webSettings.xml"/><Relationship Id="rId7" Type="http://schemas.microsoft.com/office/2011/relationships/commentsExtended" Target="commentsExtended.xml"/><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omments" Target="comments.xml"/><Relationship Id="rId11" Type="http://schemas.openxmlformats.org/officeDocument/2006/relationships/image" Target="media/image3.png"/><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footnotes" Target="footnotes.xml"/><Relationship Id="rId9" Type="http://schemas.openxmlformats.org/officeDocument/2006/relationships/image" Target="media/image1.tiff"/><Relationship Id="rId14"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5049</Words>
  <Characters>28781</Characters>
  <Application>Microsoft Office Word</Application>
  <DocSecurity>0</DocSecurity>
  <Lines>239</Lines>
  <Paragraphs>67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Bistolfi</dc:creator>
  <cp:keywords/>
  <dc:description/>
  <cp:lastModifiedBy>p berkeley</cp:lastModifiedBy>
  <cp:revision>2</cp:revision>
  <cp:lastPrinted>2015-12-10T15:51:00Z</cp:lastPrinted>
  <dcterms:created xsi:type="dcterms:W3CDTF">2019-09-29T22:21:00Z</dcterms:created>
  <dcterms:modified xsi:type="dcterms:W3CDTF">2019-09-29T22:21:00Z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