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F266A0" w:rsidRPr="00CC5311" w14:paraId="34EED8C0" w14:textId="77777777" w:rsidTr="00DA1C53">
        <w:trPr>
          <w:jc w:val="center"/>
        </w:trPr>
        <w:tc>
          <w:tcPr>
            <w:tcW w:w="4814" w:type="dxa"/>
            <w:vAlign w:val="center"/>
          </w:tcPr>
          <w:p w14:paraId="1D2F14BF" w14:textId="73057ED7" w:rsidR="00F266A0" w:rsidRPr="00CC5311" w:rsidRDefault="00F266A0" w:rsidP="00DA1C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120"/>
              <w:rPr>
                <w:rFonts w:eastAsia="Verdana"/>
                <w:b/>
                <w:sz w:val="24"/>
                <w:szCs w:val="24"/>
              </w:rPr>
            </w:pPr>
          </w:p>
        </w:tc>
        <w:tc>
          <w:tcPr>
            <w:tcW w:w="4814" w:type="dxa"/>
            <w:vAlign w:val="center"/>
          </w:tcPr>
          <w:p w14:paraId="323BA327" w14:textId="604931B9" w:rsidR="00F266A0" w:rsidRPr="00CC5311" w:rsidRDefault="00F266A0" w:rsidP="00DA1C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120"/>
              <w:jc w:val="right"/>
              <w:rPr>
                <w:rFonts w:eastAsia="Verdana"/>
                <w:b/>
                <w:sz w:val="24"/>
                <w:szCs w:val="24"/>
              </w:rPr>
            </w:pPr>
          </w:p>
        </w:tc>
      </w:tr>
    </w:tbl>
    <w:p w14:paraId="20267568" w14:textId="77777777" w:rsidR="00297295" w:rsidRPr="00CC5311" w:rsidRDefault="00297295" w:rsidP="00F266A0">
      <w:pPr>
        <w:spacing w:after="120"/>
        <w:rPr>
          <w:rFonts w:eastAsia="Verdana"/>
          <w:bCs/>
          <w:sz w:val="24"/>
          <w:szCs w:val="24"/>
        </w:rPr>
      </w:pPr>
      <w:bookmarkStart w:id="0" w:name="_Hlk71197832"/>
    </w:p>
    <w:p w14:paraId="039D2B39" w14:textId="28E7055F" w:rsidR="00297295" w:rsidRDefault="00297295" w:rsidP="00297295">
      <w:pPr>
        <w:spacing w:line="276" w:lineRule="auto"/>
        <w:jc w:val="center"/>
        <w:rPr>
          <w:rFonts w:eastAsia="Verdana"/>
          <w:b/>
          <w:sz w:val="24"/>
          <w:szCs w:val="24"/>
        </w:rPr>
      </w:pPr>
      <w:bookmarkStart w:id="1" w:name="_Hlk71197929"/>
      <w:r>
        <w:rPr>
          <w:rFonts w:eastAsia="Verdana"/>
          <w:b/>
          <w:sz w:val="24"/>
          <w:szCs w:val="24"/>
        </w:rPr>
        <w:t>XX</w:t>
      </w:r>
      <w:r w:rsidR="00737E54">
        <w:rPr>
          <w:rFonts w:eastAsia="Verdana"/>
          <w:b/>
          <w:sz w:val="24"/>
          <w:szCs w:val="24"/>
        </w:rPr>
        <w:t>II</w:t>
      </w:r>
      <w:r>
        <w:rPr>
          <w:rFonts w:eastAsia="Verdana"/>
          <w:b/>
          <w:sz w:val="24"/>
          <w:szCs w:val="24"/>
        </w:rPr>
        <w:t xml:space="preserve"> Congresso Nazionale AIP della </w:t>
      </w:r>
      <w:r w:rsidR="007D25F9" w:rsidRPr="007D25F9">
        <w:rPr>
          <w:rFonts w:eastAsia="Verdana"/>
          <w:b/>
          <w:sz w:val="24"/>
          <w:szCs w:val="24"/>
        </w:rPr>
        <w:t>sezione di</w:t>
      </w:r>
      <w:r w:rsidR="007D25F9">
        <w:rPr>
          <w:rFonts w:eastAsia="Verdana"/>
          <w:b/>
          <w:sz w:val="24"/>
          <w:szCs w:val="24"/>
        </w:rPr>
        <w:t xml:space="preserve"> P</w:t>
      </w:r>
      <w:r w:rsidR="007D25F9" w:rsidRPr="007D25F9">
        <w:rPr>
          <w:rFonts w:eastAsia="Verdana"/>
          <w:b/>
          <w:sz w:val="24"/>
          <w:szCs w:val="24"/>
        </w:rPr>
        <w:t xml:space="preserve">sicologia </w:t>
      </w:r>
      <w:r w:rsidR="007D25F9">
        <w:rPr>
          <w:rFonts w:eastAsia="Verdana"/>
          <w:b/>
          <w:sz w:val="24"/>
          <w:szCs w:val="24"/>
        </w:rPr>
        <w:t>C</w:t>
      </w:r>
      <w:r w:rsidR="007D25F9" w:rsidRPr="007D25F9">
        <w:rPr>
          <w:rFonts w:eastAsia="Verdana"/>
          <w:b/>
          <w:sz w:val="24"/>
          <w:szCs w:val="24"/>
        </w:rPr>
        <w:t xml:space="preserve">linica e </w:t>
      </w:r>
      <w:r w:rsidR="007D25F9">
        <w:rPr>
          <w:rFonts w:eastAsia="Verdana"/>
          <w:b/>
          <w:sz w:val="24"/>
          <w:szCs w:val="24"/>
        </w:rPr>
        <w:t>D</w:t>
      </w:r>
      <w:r w:rsidR="007D25F9" w:rsidRPr="007D25F9">
        <w:rPr>
          <w:rFonts w:eastAsia="Verdana"/>
          <w:b/>
          <w:sz w:val="24"/>
          <w:szCs w:val="24"/>
        </w:rPr>
        <w:t>inamica</w:t>
      </w:r>
    </w:p>
    <w:p w14:paraId="3F8FE02E" w14:textId="1076D2C4" w:rsidR="00297295" w:rsidRPr="00AA0229" w:rsidRDefault="007D25F9" w:rsidP="00297295">
      <w:pPr>
        <w:spacing w:line="276" w:lineRule="auto"/>
        <w:jc w:val="center"/>
        <w:rPr>
          <w:rFonts w:eastAsia="Verdana"/>
          <w:bCs/>
          <w:i/>
          <w:iCs/>
          <w:sz w:val="24"/>
          <w:szCs w:val="24"/>
          <w:lang w:val="en-GB"/>
        </w:rPr>
      </w:pPr>
      <w:r w:rsidRPr="00AA0229">
        <w:rPr>
          <w:rFonts w:eastAsia="Verdana"/>
          <w:bCs/>
          <w:i/>
          <w:iCs/>
          <w:sz w:val="24"/>
          <w:szCs w:val="24"/>
          <w:lang w:val="en-GB"/>
        </w:rPr>
        <w:t xml:space="preserve">Lecce, 17 – 19 </w:t>
      </w:r>
      <w:proofErr w:type="spellStart"/>
      <w:r w:rsidRPr="00AA0229">
        <w:rPr>
          <w:rFonts w:eastAsia="Verdana"/>
          <w:bCs/>
          <w:i/>
          <w:iCs/>
          <w:sz w:val="24"/>
          <w:szCs w:val="24"/>
          <w:lang w:val="en-GB"/>
        </w:rPr>
        <w:t>settembre</w:t>
      </w:r>
      <w:proofErr w:type="spellEnd"/>
      <w:r w:rsidRPr="00AA0229">
        <w:rPr>
          <w:rFonts w:eastAsia="Verdana"/>
          <w:bCs/>
          <w:i/>
          <w:iCs/>
          <w:sz w:val="24"/>
          <w:szCs w:val="24"/>
          <w:lang w:val="en-GB"/>
        </w:rPr>
        <w:t xml:space="preserve"> 2021 </w:t>
      </w:r>
    </w:p>
    <w:bookmarkEnd w:id="0"/>
    <w:bookmarkEnd w:id="1"/>
    <w:p w14:paraId="54546D28" w14:textId="77777777" w:rsidR="00F266A0" w:rsidRPr="00AA0229" w:rsidRDefault="00F266A0" w:rsidP="00F266A0">
      <w:pPr>
        <w:spacing w:after="120"/>
        <w:jc w:val="center"/>
        <w:rPr>
          <w:rFonts w:eastAsia="Verdana"/>
          <w:b/>
          <w:sz w:val="24"/>
          <w:szCs w:val="24"/>
          <w:lang w:val="en-GB"/>
        </w:rPr>
      </w:pPr>
    </w:p>
    <w:p w14:paraId="45EC87EC" w14:textId="77777777" w:rsidR="00F266A0" w:rsidRPr="00AA0229" w:rsidRDefault="00F266A0" w:rsidP="00F266A0">
      <w:pPr>
        <w:spacing w:after="120"/>
        <w:jc w:val="center"/>
        <w:rPr>
          <w:rFonts w:eastAsia="Verdana"/>
          <w:b/>
          <w:sz w:val="24"/>
          <w:szCs w:val="24"/>
          <w:lang w:val="en-GB"/>
        </w:rPr>
      </w:pPr>
      <w:r w:rsidRPr="00AA0229">
        <w:rPr>
          <w:rFonts w:eastAsia="Verdana"/>
          <w:b/>
          <w:sz w:val="24"/>
          <w:szCs w:val="24"/>
          <w:lang w:val="en-GB"/>
        </w:rPr>
        <w:t xml:space="preserve">ABSTRACT FORM </w:t>
      </w:r>
    </w:p>
    <w:p w14:paraId="1E275442" w14:textId="77777777" w:rsidR="00EC47A4" w:rsidRPr="00AA0229" w:rsidRDefault="00A7516A" w:rsidP="00F266A0">
      <w:pPr>
        <w:spacing w:after="120"/>
        <w:jc w:val="center"/>
        <w:rPr>
          <w:rFonts w:eastAsia="Verdana"/>
          <w:b/>
          <w:sz w:val="24"/>
          <w:szCs w:val="24"/>
          <w:lang w:val="en-GB"/>
        </w:rPr>
      </w:pPr>
      <w:r w:rsidRPr="00AA0229">
        <w:rPr>
          <w:rFonts w:eastAsia="Verdana"/>
          <w:b/>
          <w:sz w:val="24"/>
          <w:szCs w:val="24"/>
          <w:lang w:val="en-GB"/>
        </w:rPr>
        <w:t xml:space="preserve">POSTER </w:t>
      </w:r>
    </w:p>
    <w:p w14:paraId="65D8348D" w14:textId="77777777" w:rsidR="00961316" w:rsidRPr="00AA0229" w:rsidRDefault="00961316" w:rsidP="00F266A0">
      <w:pPr>
        <w:spacing w:after="120"/>
        <w:jc w:val="center"/>
        <w:rPr>
          <w:rFonts w:eastAsia="Verdana"/>
          <w:b/>
          <w:sz w:val="24"/>
          <w:szCs w:val="24"/>
          <w:lang w:val="en-GB"/>
        </w:rPr>
      </w:pPr>
    </w:p>
    <w:p w14:paraId="139183A6" w14:textId="77777777" w:rsidR="00AA0229" w:rsidRPr="00AA0229" w:rsidRDefault="00737E54" w:rsidP="00AA0229">
      <w:pPr>
        <w:jc w:val="both"/>
        <w:rPr>
          <w:sz w:val="24"/>
          <w:szCs w:val="24"/>
          <w:lang w:val="en-GB"/>
        </w:rPr>
      </w:pPr>
      <w:r w:rsidRPr="00AA0229">
        <w:rPr>
          <w:rFonts w:eastAsia="Verdana"/>
          <w:b/>
          <w:sz w:val="24"/>
          <w:szCs w:val="24"/>
          <w:lang w:val="en-GB"/>
        </w:rPr>
        <w:t xml:space="preserve">TITOLO DEL POSTER: </w:t>
      </w:r>
      <w:r w:rsidR="00AA0229" w:rsidRPr="00AA0229">
        <w:rPr>
          <w:sz w:val="24"/>
          <w:szCs w:val="24"/>
          <w:lang w:val="en-GB"/>
        </w:rPr>
        <w:t>ATTACHMENT AND ALEXITHYMIA AS RISK FACTORS FOR EMOTIONAL-BEHAVIORAL PROBLEMS IN INSTITUTIONALIZED, LATE-ADOPTED AND COMMUNITY TEENAGERS: MIXED-METHOD MULTI-INFORMANT PREDICTION MODELS.</w:t>
      </w:r>
    </w:p>
    <w:p w14:paraId="36F78E37" w14:textId="5074332C" w:rsidR="00737E54" w:rsidRPr="00AA0229" w:rsidRDefault="00737E54" w:rsidP="006C00A5">
      <w:pPr>
        <w:spacing w:after="120"/>
        <w:jc w:val="center"/>
        <w:rPr>
          <w:rFonts w:eastAsia="Verdana"/>
          <w:b/>
          <w:sz w:val="24"/>
          <w:szCs w:val="24"/>
          <w:lang w:val="en-GB"/>
        </w:rPr>
      </w:pPr>
    </w:p>
    <w:p w14:paraId="3264F77D" w14:textId="128731FA" w:rsidR="006C00A5" w:rsidRPr="00AA0229" w:rsidRDefault="006C00A5" w:rsidP="006C00A5">
      <w:pPr>
        <w:spacing w:after="120"/>
        <w:jc w:val="center"/>
        <w:rPr>
          <w:rFonts w:eastAsia="Verdana"/>
          <w:bCs/>
          <w:sz w:val="24"/>
          <w:szCs w:val="24"/>
          <w:lang w:val="en-GB"/>
        </w:rPr>
      </w:pPr>
      <w:r w:rsidRPr="00AA0229">
        <w:rPr>
          <w:rFonts w:eastAsia="Verdana"/>
          <w:b/>
          <w:sz w:val="24"/>
          <w:szCs w:val="24"/>
          <w:lang w:val="en-GB"/>
        </w:rPr>
        <w:t>AUTOR</w:t>
      </w:r>
      <w:r w:rsidR="0011636E" w:rsidRPr="00AA0229">
        <w:rPr>
          <w:rFonts w:eastAsia="Verdana"/>
          <w:b/>
          <w:sz w:val="24"/>
          <w:szCs w:val="24"/>
          <w:lang w:val="en-GB"/>
        </w:rPr>
        <w:t>E/I</w:t>
      </w:r>
      <w:r w:rsidRPr="00AA0229">
        <w:rPr>
          <w:rFonts w:eastAsia="Verdana"/>
          <w:b/>
          <w:sz w:val="24"/>
          <w:szCs w:val="24"/>
          <w:lang w:val="en-GB"/>
        </w:rPr>
        <w:t xml:space="preserve">: </w:t>
      </w:r>
      <w:r w:rsidR="00AA0229" w:rsidRPr="00AA0229">
        <w:rPr>
          <w:rFonts w:eastAsia="Verdana"/>
          <w:b/>
          <w:sz w:val="24"/>
          <w:szCs w:val="24"/>
          <w:lang w:val="en-GB"/>
        </w:rPr>
        <w:t xml:space="preserve"> </w:t>
      </w:r>
      <w:r w:rsidR="00E86CED">
        <w:rPr>
          <w:rFonts w:eastAsia="Verdana"/>
          <w:b/>
          <w:sz w:val="24"/>
          <w:szCs w:val="24"/>
          <w:lang w:val="en-GB"/>
        </w:rPr>
        <w:t xml:space="preserve">Muzi </w:t>
      </w:r>
      <w:r w:rsidR="00AA0229" w:rsidRPr="00AA0229">
        <w:rPr>
          <w:rFonts w:eastAsia="Verdana"/>
          <w:b/>
          <w:sz w:val="24"/>
          <w:szCs w:val="24"/>
          <w:lang w:val="en-GB"/>
        </w:rPr>
        <w:t xml:space="preserve">Stefania </w:t>
      </w:r>
    </w:p>
    <w:p w14:paraId="0A5158CC" w14:textId="06E82B0A" w:rsidR="00961316" w:rsidRPr="00AA0229" w:rsidRDefault="00737E54" w:rsidP="00AA0229">
      <w:pPr>
        <w:jc w:val="center"/>
        <w:rPr>
          <w:sz w:val="24"/>
          <w:szCs w:val="24"/>
          <w:lang w:val="en-GB"/>
        </w:rPr>
      </w:pPr>
      <w:r w:rsidRPr="00AA0229">
        <w:rPr>
          <w:rFonts w:eastAsia="Verdana"/>
          <w:b/>
          <w:sz w:val="24"/>
          <w:szCs w:val="24"/>
          <w:lang w:val="en-GB"/>
        </w:rPr>
        <w:t xml:space="preserve">AFFILIAZIONE: </w:t>
      </w:r>
      <w:r w:rsidR="00AA0229" w:rsidRPr="00AA0229">
        <w:rPr>
          <w:sz w:val="24"/>
          <w:szCs w:val="24"/>
          <w:lang w:val="en-GB"/>
        </w:rPr>
        <w:t>Department of Educational Sciences, University of Genoa.</w:t>
      </w:r>
    </w:p>
    <w:p w14:paraId="13C7D748" w14:textId="77777777" w:rsidR="00AA0229" w:rsidRPr="00AA0229" w:rsidRDefault="00AA0229" w:rsidP="00AA0229">
      <w:pPr>
        <w:rPr>
          <w:b/>
          <w:bCs/>
          <w:sz w:val="24"/>
          <w:szCs w:val="24"/>
          <w:lang w:val="en-GB"/>
        </w:rPr>
      </w:pPr>
    </w:p>
    <w:p w14:paraId="77A76A63" w14:textId="77777777" w:rsidR="000C440F" w:rsidRPr="00E86CED" w:rsidRDefault="000C440F" w:rsidP="00CC70BC">
      <w:pPr>
        <w:spacing w:after="120"/>
        <w:jc w:val="center"/>
        <w:rPr>
          <w:rFonts w:eastAsia="Verdana"/>
          <w:b/>
          <w:sz w:val="24"/>
          <w:szCs w:val="24"/>
          <w:lang w:val="en-GB"/>
        </w:rPr>
      </w:pPr>
    </w:p>
    <w:p w14:paraId="4A5F2E0C" w14:textId="5F44A662" w:rsidR="0088728F" w:rsidRPr="0088728F" w:rsidRDefault="0088728F" w:rsidP="0088728F">
      <w:pPr>
        <w:spacing w:after="120"/>
        <w:rPr>
          <w:rFonts w:eastAsia="Verdana"/>
          <w:bCs/>
          <w:sz w:val="24"/>
          <w:szCs w:val="24"/>
          <w:lang w:val="en-GB"/>
        </w:rPr>
      </w:pPr>
      <w:r w:rsidRPr="0088728F">
        <w:rPr>
          <w:rFonts w:eastAsia="Verdana"/>
          <w:b/>
          <w:sz w:val="24"/>
          <w:szCs w:val="24"/>
          <w:lang w:val="en-GB"/>
        </w:rPr>
        <w:t>Introduction.</w:t>
      </w:r>
      <w:r>
        <w:rPr>
          <w:rFonts w:eastAsia="Verdana"/>
          <w:bCs/>
          <w:sz w:val="24"/>
          <w:szCs w:val="24"/>
          <w:lang w:val="en-GB"/>
        </w:rPr>
        <w:t xml:space="preserve"> </w:t>
      </w:r>
      <w:r w:rsidRPr="0088728F">
        <w:rPr>
          <w:rFonts w:eastAsia="Verdana"/>
          <w:bCs/>
          <w:sz w:val="24"/>
          <w:szCs w:val="24"/>
          <w:lang w:val="en-GB"/>
        </w:rPr>
        <w:t>Italy counts more than 50.000 adolescents placed in residential-care [RC] or late-adopted [LA] due to adverse experiences in their family of origin. Despite different life conditions of RC and LA adolescents, they both show greater vulnerability to emotional-</w:t>
      </w:r>
      <w:proofErr w:type="spellStart"/>
      <w:r w:rsidRPr="0088728F">
        <w:rPr>
          <w:rFonts w:eastAsia="Verdana"/>
          <w:bCs/>
          <w:sz w:val="24"/>
          <w:szCs w:val="24"/>
          <w:lang w:val="en-GB"/>
        </w:rPr>
        <w:t>behavioral</w:t>
      </w:r>
      <w:proofErr w:type="spellEnd"/>
      <w:r w:rsidRPr="0088728F">
        <w:rPr>
          <w:rFonts w:eastAsia="Verdana"/>
          <w:bCs/>
          <w:sz w:val="24"/>
          <w:szCs w:val="24"/>
          <w:lang w:val="en-GB"/>
        </w:rPr>
        <w:t xml:space="preserve"> problems and psychological risk factors -as insecure/disorganized attachment and alexithymia- compared to low-risk community peers [COM]. For the first time, this study investigated attachment and alexithymia as independent and mutual predictors for emotional-</w:t>
      </w:r>
      <w:proofErr w:type="spellStart"/>
      <w:r w:rsidRPr="0088728F">
        <w:rPr>
          <w:rFonts w:eastAsia="Verdana"/>
          <w:bCs/>
          <w:sz w:val="24"/>
          <w:szCs w:val="24"/>
          <w:lang w:val="en-GB"/>
        </w:rPr>
        <w:t>behavioral</w:t>
      </w:r>
      <w:proofErr w:type="spellEnd"/>
      <w:r w:rsidRPr="0088728F">
        <w:rPr>
          <w:rFonts w:eastAsia="Verdana"/>
          <w:bCs/>
          <w:sz w:val="24"/>
          <w:szCs w:val="24"/>
          <w:lang w:val="en-GB"/>
        </w:rPr>
        <w:t xml:space="preserve"> problems in either institutionalized, late-adopted, and community adolescents, employing a mixed-method multi-informant approach.</w:t>
      </w:r>
    </w:p>
    <w:p w14:paraId="40766E1B" w14:textId="6F86CA9B" w:rsidR="0088728F" w:rsidRPr="0088728F" w:rsidRDefault="0088728F" w:rsidP="0088728F">
      <w:pPr>
        <w:spacing w:after="120"/>
        <w:rPr>
          <w:rFonts w:eastAsia="Verdana"/>
          <w:bCs/>
          <w:sz w:val="24"/>
          <w:szCs w:val="24"/>
          <w:lang w:val="en-GB"/>
        </w:rPr>
      </w:pPr>
      <w:r w:rsidRPr="0088728F">
        <w:rPr>
          <w:rFonts w:eastAsia="Verdana"/>
          <w:b/>
          <w:sz w:val="24"/>
          <w:szCs w:val="24"/>
          <w:lang w:val="en-GB"/>
        </w:rPr>
        <w:t>Method.</w:t>
      </w:r>
      <w:r>
        <w:rPr>
          <w:rFonts w:eastAsia="Verdana"/>
          <w:bCs/>
          <w:sz w:val="24"/>
          <w:szCs w:val="24"/>
          <w:lang w:val="en-GB"/>
        </w:rPr>
        <w:t xml:space="preserve"> </w:t>
      </w:r>
      <w:r w:rsidRPr="0088728F">
        <w:rPr>
          <w:rFonts w:eastAsia="Verdana"/>
          <w:bCs/>
          <w:sz w:val="24"/>
          <w:szCs w:val="24"/>
          <w:lang w:val="en-GB"/>
        </w:rPr>
        <w:t>174 adolescents (M</w:t>
      </w:r>
      <w:r w:rsidRPr="0088728F">
        <w:rPr>
          <w:rFonts w:eastAsia="Verdana"/>
          <w:bCs/>
          <w:sz w:val="24"/>
          <w:szCs w:val="24"/>
          <w:vertAlign w:val="subscript"/>
          <w:lang w:val="en-GB"/>
        </w:rPr>
        <w:t>age</w:t>
      </w:r>
      <w:r w:rsidRPr="0088728F">
        <w:rPr>
          <w:rFonts w:eastAsia="Verdana"/>
          <w:bCs/>
          <w:sz w:val="24"/>
          <w:szCs w:val="24"/>
          <w:lang w:val="en-GB"/>
        </w:rPr>
        <w:t xml:space="preserve"> = 15 years old, 53% boys) -50 RC, 33 LA, and 91 COM- were assessed in emotional-</w:t>
      </w:r>
      <w:proofErr w:type="spellStart"/>
      <w:r w:rsidRPr="0088728F">
        <w:rPr>
          <w:rFonts w:eastAsia="Verdana"/>
          <w:bCs/>
          <w:sz w:val="24"/>
          <w:szCs w:val="24"/>
          <w:lang w:val="en-GB"/>
        </w:rPr>
        <w:t>behavioral</w:t>
      </w:r>
      <w:proofErr w:type="spellEnd"/>
      <w:r w:rsidRPr="0088728F">
        <w:rPr>
          <w:rFonts w:eastAsia="Verdana"/>
          <w:bCs/>
          <w:sz w:val="24"/>
          <w:szCs w:val="24"/>
          <w:lang w:val="en-GB"/>
        </w:rPr>
        <w:t xml:space="preserve"> problems (total, internalizing and externalizing type)</w:t>
      </w:r>
      <w:r w:rsidRPr="0088728F" w:rsidDel="00E61027">
        <w:rPr>
          <w:rFonts w:eastAsia="Verdana"/>
          <w:bCs/>
          <w:sz w:val="24"/>
          <w:szCs w:val="24"/>
          <w:lang w:val="en-GB"/>
        </w:rPr>
        <w:t xml:space="preserve"> </w:t>
      </w:r>
      <w:r w:rsidRPr="0088728F">
        <w:rPr>
          <w:rFonts w:eastAsia="Verdana"/>
          <w:bCs/>
          <w:sz w:val="24"/>
          <w:szCs w:val="24"/>
          <w:lang w:val="en-GB"/>
        </w:rPr>
        <w:t>through both a parent-report and a self-report questionnaire; both attachment and alexithymia through both interviews and self-report questionnaires.</w:t>
      </w:r>
    </w:p>
    <w:p w14:paraId="1A6AE34B" w14:textId="5CAF3848" w:rsidR="0088728F" w:rsidRPr="0088728F" w:rsidRDefault="0088728F" w:rsidP="0088728F">
      <w:pPr>
        <w:spacing w:after="120"/>
        <w:rPr>
          <w:rFonts w:eastAsia="Verdana"/>
          <w:bCs/>
          <w:sz w:val="24"/>
          <w:szCs w:val="24"/>
          <w:lang w:val="en-GB"/>
        </w:rPr>
      </w:pPr>
      <w:r w:rsidRPr="0088728F">
        <w:rPr>
          <w:rFonts w:eastAsia="Verdana"/>
          <w:b/>
          <w:sz w:val="24"/>
          <w:szCs w:val="24"/>
          <w:lang w:val="en-GB"/>
        </w:rPr>
        <w:t>Results.</w:t>
      </w:r>
      <w:r>
        <w:rPr>
          <w:rFonts w:eastAsia="Verdana"/>
          <w:bCs/>
          <w:sz w:val="24"/>
          <w:szCs w:val="24"/>
          <w:lang w:val="en-GB"/>
        </w:rPr>
        <w:t xml:space="preserve"> </w:t>
      </w:r>
      <w:r w:rsidRPr="0088728F">
        <w:rPr>
          <w:rFonts w:eastAsia="Verdana"/>
          <w:bCs/>
          <w:sz w:val="24"/>
          <w:szCs w:val="24"/>
          <w:lang w:val="en-GB"/>
        </w:rPr>
        <w:t>General linear models of predictions were significant for all types of problems (</w:t>
      </w:r>
      <w:r w:rsidRPr="0088728F">
        <w:rPr>
          <w:rFonts w:eastAsia="Verdana"/>
          <w:bCs/>
          <w:i/>
          <w:iCs/>
          <w:sz w:val="24"/>
          <w:szCs w:val="24"/>
          <w:lang w:val="en-GB"/>
        </w:rPr>
        <w:t>p</w:t>
      </w:r>
      <w:r w:rsidRPr="0088728F">
        <w:rPr>
          <w:rFonts w:eastAsia="Verdana"/>
          <w:bCs/>
          <w:sz w:val="24"/>
          <w:szCs w:val="24"/>
          <w:lang w:val="en-GB"/>
        </w:rPr>
        <w:t xml:space="preserve"> &lt;.001). </w:t>
      </w:r>
      <w:r>
        <w:rPr>
          <w:rFonts w:eastAsia="Verdana"/>
          <w:bCs/>
          <w:sz w:val="24"/>
          <w:szCs w:val="24"/>
          <w:lang w:val="en-GB"/>
        </w:rPr>
        <w:t>Belong to b</w:t>
      </w:r>
      <w:r w:rsidRPr="0088728F">
        <w:rPr>
          <w:rFonts w:eastAsia="Verdana"/>
          <w:bCs/>
          <w:sz w:val="24"/>
          <w:szCs w:val="24"/>
          <w:lang w:val="en-GB"/>
        </w:rPr>
        <w:t>oth RC or LA group w</w:t>
      </w:r>
      <w:r>
        <w:rPr>
          <w:rFonts w:eastAsia="Verdana"/>
          <w:bCs/>
          <w:sz w:val="24"/>
          <w:szCs w:val="24"/>
          <w:lang w:val="en-GB"/>
        </w:rPr>
        <w:t>as</w:t>
      </w:r>
      <w:r w:rsidRPr="0088728F">
        <w:rPr>
          <w:rFonts w:eastAsia="Verdana"/>
          <w:bCs/>
          <w:sz w:val="24"/>
          <w:szCs w:val="24"/>
          <w:lang w:val="en-GB"/>
        </w:rPr>
        <w:t xml:space="preserve"> a risk factor for more total problems. Moreover, an interactive effect of attachment insecurity and more alexithymia predicted 50% more internalizing problems, while only alexithymia predicted 18% more externalizing problems in all adolescents, regardless of the belonging group (RC, LA, COM). Lastly, few discrepancies were detected according to the informant or method used.</w:t>
      </w:r>
    </w:p>
    <w:p w14:paraId="575412E9" w14:textId="687B6A57" w:rsidR="00E86CED" w:rsidRPr="00E86CED" w:rsidRDefault="0088728F" w:rsidP="000C440F">
      <w:pPr>
        <w:spacing w:after="120"/>
        <w:rPr>
          <w:rFonts w:eastAsia="Verdana"/>
          <w:bCs/>
          <w:sz w:val="24"/>
          <w:szCs w:val="24"/>
          <w:lang w:val="en-GB"/>
        </w:rPr>
      </w:pPr>
      <w:r w:rsidRPr="0088728F">
        <w:rPr>
          <w:rFonts w:eastAsia="Verdana"/>
          <w:b/>
          <w:sz w:val="24"/>
          <w:szCs w:val="24"/>
          <w:lang w:val="en-GB"/>
        </w:rPr>
        <w:t xml:space="preserve">Discussion. </w:t>
      </w:r>
      <w:r w:rsidRPr="0088728F">
        <w:rPr>
          <w:rFonts w:eastAsia="Verdana"/>
          <w:bCs/>
          <w:sz w:val="24"/>
          <w:szCs w:val="24"/>
          <w:lang w:val="en-GB"/>
        </w:rPr>
        <w:t xml:space="preserve">In conclusion, belong to </w:t>
      </w:r>
      <w:r>
        <w:rPr>
          <w:rFonts w:eastAsia="Verdana"/>
          <w:bCs/>
          <w:sz w:val="24"/>
          <w:szCs w:val="24"/>
          <w:lang w:val="en-GB"/>
        </w:rPr>
        <w:t xml:space="preserve">the </w:t>
      </w:r>
      <w:r w:rsidRPr="0088728F">
        <w:rPr>
          <w:rFonts w:eastAsia="Verdana"/>
          <w:bCs/>
          <w:sz w:val="24"/>
          <w:szCs w:val="24"/>
          <w:lang w:val="en-GB"/>
        </w:rPr>
        <w:t>RC or LA group, higher attachment insecurity and alexithymia were all risk factors for more emotional-</w:t>
      </w:r>
      <w:proofErr w:type="spellStart"/>
      <w:r w:rsidRPr="0088728F">
        <w:rPr>
          <w:rFonts w:eastAsia="Verdana"/>
          <w:bCs/>
          <w:sz w:val="24"/>
          <w:szCs w:val="24"/>
          <w:lang w:val="en-GB"/>
        </w:rPr>
        <w:t>behavioral</w:t>
      </w:r>
      <w:proofErr w:type="spellEnd"/>
      <w:r w:rsidRPr="0088728F">
        <w:rPr>
          <w:rFonts w:eastAsia="Verdana"/>
          <w:bCs/>
          <w:sz w:val="24"/>
          <w:szCs w:val="24"/>
          <w:lang w:val="en-GB"/>
        </w:rPr>
        <w:t xml:space="preserve"> problems, even if they followed different pathways. Indeed, practitioners should be aware that </w:t>
      </w:r>
      <w:r>
        <w:rPr>
          <w:rFonts w:eastAsia="Verdana"/>
          <w:bCs/>
          <w:sz w:val="24"/>
          <w:szCs w:val="24"/>
          <w:lang w:val="en-GB"/>
        </w:rPr>
        <w:t xml:space="preserve">the </w:t>
      </w:r>
      <w:r w:rsidRPr="0088728F">
        <w:rPr>
          <w:rFonts w:eastAsia="Verdana"/>
          <w:bCs/>
          <w:sz w:val="24"/>
          <w:szCs w:val="24"/>
          <w:lang w:val="en-GB"/>
        </w:rPr>
        <w:t>aforementioned risk factors showed different mechanisms of risk depending on the group, type of problems, problems’ informant, or method of assessment.</w:t>
      </w:r>
    </w:p>
    <w:sectPr w:rsidR="00E86CED" w:rsidRPr="00E86CED" w:rsidSect="00714B24">
      <w:headerReference w:type="default" r:id="rId7"/>
      <w:pgSz w:w="11900" w:h="16840"/>
      <w:pgMar w:top="315" w:right="1134" w:bottom="1134" w:left="113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120045" w14:textId="77777777" w:rsidR="00746B6C" w:rsidRDefault="00746B6C" w:rsidP="00297295">
      <w:r>
        <w:separator/>
      </w:r>
    </w:p>
  </w:endnote>
  <w:endnote w:type="continuationSeparator" w:id="0">
    <w:p w14:paraId="32737F3B" w14:textId="77777777" w:rsidR="00746B6C" w:rsidRDefault="00746B6C" w:rsidP="00297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C3807" w14:textId="77777777" w:rsidR="00746B6C" w:rsidRDefault="00746B6C" w:rsidP="00297295">
      <w:r>
        <w:separator/>
      </w:r>
    </w:p>
  </w:footnote>
  <w:footnote w:type="continuationSeparator" w:id="0">
    <w:p w14:paraId="272E0958" w14:textId="77777777" w:rsidR="00746B6C" w:rsidRDefault="00746B6C" w:rsidP="00297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5F0EE" w14:textId="79A9B83F" w:rsidR="00297295" w:rsidRDefault="00297295">
    <w:pPr>
      <w:pStyle w:val="Intestazione"/>
    </w:pPr>
    <w:r>
      <w:ptab w:relativeTo="margin" w:alignment="center" w:leader="none"/>
    </w:r>
    <w:r w:rsidR="00714B24">
      <w:rPr>
        <w:rFonts w:asciiTheme="majorHAnsi" w:hAnsiTheme="majorHAnsi"/>
        <w:b/>
        <w:noProof/>
        <w:sz w:val="32"/>
        <w:szCs w:val="32"/>
        <w:lang w:eastAsia="it-IT"/>
      </w:rPr>
      <w:drawing>
        <wp:inline distT="0" distB="0" distL="0" distR="0" wp14:anchorId="7F0E5393" wp14:editId="39E4B8CF">
          <wp:extent cx="4000500" cy="1562760"/>
          <wp:effectExtent l="0" t="0" r="0" b="0"/>
          <wp:docPr id="13" name="Immagine 13" descr="Immagine che contiene mapp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 descr="Immagine che contiene mappa&#10;&#10;Descrizione generata automa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20555" cy="15705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right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hideSpellingErrors/>
  <w:hideGrammaticalErrors/>
  <w:proofState w:spelling="clean"/>
  <w:documentProtection w:edit="forms" w:enforcement="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U0MbM0MTcwMTQ2NjNQ0lEKTi0uzszPAykwqgUAO5Y9aywAAAA="/>
  </w:docVars>
  <w:rsids>
    <w:rsidRoot w:val="00F266A0"/>
    <w:rsid w:val="0000216D"/>
    <w:rsid w:val="000A42D5"/>
    <w:rsid w:val="000C440F"/>
    <w:rsid w:val="0011636E"/>
    <w:rsid w:val="001B6577"/>
    <w:rsid w:val="001C1B1F"/>
    <w:rsid w:val="00201523"/>
    <w:rsid w:val="00222861"/>
    <w:rsid w:val="002372D5"/>
    <w:rsid w:val="00297295"/>
    <w:rsid w:val="002A66B4"/>
    <w:rsid w:val="002F54EA"/>
    <w:rsid w:val="003106E6"/>
    <w:rsid w:val="00431BC6"/>
    <w:rsid w:val="0047685F"/>
    <w:rsid w:val="00484C53"/>
    <w:rsid w:val="0049126B"/>
    <w:rsid w:val="004B68DA"/>
    <w:rsid w:val="004C081C"/>
    <w:rsid w:val="004C47BF"/>
    <w:rsid w:val="004D2937"/>
    <w:rsid w:val="005612D9"/>
    <w:rsid w:val="00584335"/>
    <w:rsid w:val="006253AB"/>
    <w:rsid w:val="00625771"/>
    <w:rsid w:val="006C00A5"/>
    <w:rsid w:val="00701D01"/>
    <w:rsid w:val="007125CB"/>
    <w:rsid w:val="00714B24"/>
    <w:rsid w:val="00737E54"/>
    <w:rsid w:val="00743735"/>
    <w:rsid w:val="00746B6C"/>
    <w:rsid w:val="007C23B1"/>
    <w:rsid w:val="007D1D85"/>
    <w:rsid w:val="007D25F9"/>
    <w:rsid w:val="007E4156"/>
    <w:rsid w:val="007F0653"/>
    <w:rsid w:val="00815315"/>
    <w:rsid w:val="00825200"/>
    <w:rsid w:val="00864557"/>
    <w:rsid w:val="0088728F"/>
    <w:rsid w:val="008D3CA0"/>
    <w:rsid w:val="008D65C1"/>
    <w:rsid w:val="008E2F23"/>
    <w:rsid w:val="008E371F"/>
    <w:rsid w:val="009602CD"/>
    <w:rsid w:val="00961316"/>
    <w:rsid w:val="009C5593"/>
    <w:rsid w:val="009E7F6F"/>
    <w:rsid w:val="00A241A3"/>
    <w:rsid w:val="00A651AE"/>
    <w:rsid w:val="00A7516A"/>
    <w:rsid w:val="00A8445F"/>
    <w:rsid w:val="00A953C5"/>
    <w:rsid w:val="00AA0229"/>
    <w:rsid w:val="00AC2E78"/>
    <w:rsid w:val="00AE6ADC"/>
    <w:rsid w:val="00B00262"/>
    <w:rsid w:val="00B07E33"/>
    <w:rsid w:val="00B151FB"/>
    <w:rsid w:val="00B363A2"/>
    <w:rsid w:val="00B57DD1"/>
    <w:rsid w:val="00BC266C"/>
    <w:rsid w:val="00BD765C"/>
    <w:rsid w:val="00C23195"/>
    <w:rsid w:val="00C839E7"/>
    <w:rsid w:val="00CC5A8D"/>
    <w:rsid w:val="00CC70BC"/>
    <w:rsid w:val="00CE2810"/>
    <w:rsid w:val="00CF5B50"/>
    <w:rsid w:val="00D45F75"/>
    <w:rsid w:val="00D75E3C"/>
    <w:rsid w:val="00DB2E01"/>
    <w:rsid w:val="00E0659D"/>
    <w:rsid w:val="00E67F4D"/>
    <w:rsid w:val="00E86CED"/>
    <w:rsid w:val="00EC47A4"/>
    <w:rsid w:val="00ED5A8A"/>
    <w:rsid w:val="00F04A80"/>
    <w:rsid w:val="00F266A0"/>
    <w:rsid w:val="00F472E9"/>
    <w:rsid w:val="00F55EAA"/>
    <w:rsid w:val="00F73388"/>
    <w:rsid w:val="00F93197"/>
    <w:rsid w:val="00FB3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B84236"/>
  <w15:chartTrackingRefBased/>
  <w15:docId w15:val="{AFB2ED16-42A5-1D4A-9D5F-1FB0F9578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F266A0"/>
    <w:pPr>
      <w:pBdr>
        <w:top w:val="nil"/>
        <w:left w:val="nil"/>
        <w:bottom w:val="nil"/>
        <w:right w:val="nil"/>
        <w:between w:val="nil"/>
      </w:pBdr>
    </w:pPr>
    <w:rPr>
      <w:rFonts w:ascii="Times New Roman" w:eastAsia="Times New Roman" w:hAnsi="Times New Roman" w:cs="Times New Roman"/>
      <w:color w:val="000000"/>
      <w:sz w:val="20"/>
      <w:szCs w:val="20"/>
      <w:lang w:eastAsia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F266A0"/>
    <w:pPr>
      <w:pBdr>
        <w:top w:val="nil"/>
        <w:left w:val="nil"/>
        <w:bottom w:val="nil"/>
        <w:right w:val="nil"/>
        <w:between w:val="nil"/>
      </w:pBdr>
    </w:pPr>
    <w:rPr>
      <w:rFonts w:ascii="Times New Roman" w:eastAsia="Times New Roman" w:hAnsi="Times New Roman" w:cs="Times New Roman"/>
      <w:color w:val="000000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66A0"/>
    <w:rPr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266A0"/>
    <w:rPr>
      <w:rFonts w:ascii="Times New Roman" w:eastAsia="Times New Roman" w:hAnsi="Times New Roman" w:cs="Times New Roman"/>
      <w:color w:val="000000"/>
      <w:sz w:val="18"/>
      <w:szCs w:val="18"/>
      <w:lang w:eastAsia="en-GB"/>
    </w:rPr>
  </w:style>
  <w:style w:type="paragraph" w:styleId="Intestazione">
    <w:name w:val="header"/>
    <w:basedOn w:val="Normale"/>
    <w:link w:val="IntestazioneCarattere"/>
    <w:uiPriority w:val="99"/>
    <w:unhideWhenUsed/>
    <w:rsid w:val="0029729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7295"/>
    <w:rPr>
      <w:rFonts w:ascii="Times New Roman" w:eastAsia="Times New Roman" w:hAnsi="Times New Roman" w:cs="Times New Roman"/>
      <w:color w:val="000000"/>
      <w:sz w:val="20"/>
      <w:szCs w:val="20"/>
      <w:lang w:eastAsia="en-GB"/>
    </w:rPr>
  </w:style>
  <w:style w:type="paragraph" w:styleId="Pidipagina">
    <w:name w:val="footer"/>
    <w:basedOn w:val="Normale"/>
    <w:link w:val="PidipaginaCarattere"/>
    <w:uiPriority w:val="99"/>
    <w:unhideWhenUsed/>
    <w:rsid w:val="0029729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97295"/>
    <w:rPr>
      <w:rFonts w:ascii="Times New Roman" w:eastAsia="Times New Roman" w:hAnsi="Times New Roman" w:cs="Times New Roman"/>
      <w:color w:val="000000"/>
      <w:sz w:val="20"/>
      <w:szCs w:val="20"/>
      <w:lang w:eastAsia="en-GB"/>
    </w:rPr>
  </w:style>
  <w:style w:type="character" w:styleId="Rimandocommento">
    <w:name w:val="annotation reference"/>
    <w:basedOn w:val="Carpredefinitoparagrafo"/>
    <w:uiPriority w:val="99"/>
    <w:semiHidden/>
    <w:unhideWhenUsed/>
    <w:rsid w:val="0058433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84335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84335"/>
    <w:rPr>
      <w:rFonts w:ascii="Times New Roman" w:eastAsia="Times New Roman" w:hAnsi="Times New Roman" w:cs="Times New Roman"/>
      <w:color w:val="000000"/>
      <w:sz w:val="20"/>
      <w:szCs w:val="20"/>
      <w:lang w:eastAsia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843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84335"/>
    <w:rPr>
      <w:rFonts w:ascii="Times New Roman" w:eastAsia="Times New Roman" w:hAnsi="Times New Roman" w:cs="Times New Roman"/>
      <w:b/>
      <w:bCs/>
      <w:color w:val="000000"/>
      <w:sz w:val="20"/>
      <w:szCs w:val="20"/>
      <w:lang w:eastAsia="en-GB"/>
    </w:rPr>
  </w:style>
  <w:style w:type="paragraph" w:styleId="Revisione">
    <w:name w:val="Revision"/>
    <w:hidden/>
    <w:uiPriority w:val="99"/>
    <w:semiHidden/>
    <w:rsid w:val="0011636E"/>
    <w:rPr>
      <w:rFonts w:ascii="Times New Roman" w:eastAsia="Times New Roman" w:hAnsi="Times New Roman" w:cs="Times New Roman"/>
      <w:color w:val="00000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122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01BCBB-6A7D-4038-BD95-CEF4EB58B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353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Antonucci</dc:creator>
  <cp:keywords/>
  <dc:description/>
  <cp:lastModifiedBy>Stefania Muzi</cp:lastModifiedBy>
  <cp:revision>6</cp:revision>
  <dcterms:created xsi:type="dcterms:W3CDTF">2021-05-06T13:37:00Z</dcterms:created>
  <dcterms:modified xsi:type="dcterms:W3CDTF">2021-05-22T22:42:00Z</dcterms:modified>
</cp:coreProperties>
</file>