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38603" w14:textId="48C183A9" w:rsidR="00F64041" w:rsidRPr="00594D39" w:rsidRDefault="00F64041" w:rsidP="00F64041">
      <w:pPr>
        <w:jc w:val="center"/>
        <w:rPr>
          <w:b/>
          <w:bCs/>
          <w:lang w:val="en-US"/>
        </w:rPr>
      </w:pPr>
      <w:r w:rsidRPr="00594D39">
        <w:rPr>
          <w:b/>
          <w:bCs/>
          <w:lang w:val="en-US"/>
        </w:rPr>
        <w:t>SUPPORTING INFORMATION</w:t>
      </w:r>
    </w:p>
    <w:p w14:paraId="43C4E7B8" w14:textId="5CD2CB03" w:rsidR="00683367" w:rsidRPr="00594D39" w:rsidRDefault="00AD4CCE" w:rsidP="006A2D44">
      <w:pPr>
        <w:jc w:val="both"/>
        <w:rPr>
          <w:b/>
          <w:bCs/>
          <w:color w:val="FF0000"/>
          <w:lang w:val="en-US"/>
        </w:rPr>
      </w:pPr>
      <w:r w:rsidRPr="007078A1">
        <w:rPr>
          <w:b/>
          <w:bCs/>
          <w:color w:val="FF0000"/>
          <w:lang w:val="en-US"/>
        </w:rPr>
        <w:t>Drug-Free Hybrid Nano</w:t>
      </w:r>
      <w:r w:rsidR="00543636">
        <w:rPr>
          <w:b/>
          <w:bCs/>
          <w:color w:val="FF0000"/>
          <w:lang w:val="en-US"/>
        </w:rPr>
        <w:t>a</w:t>
      </w:r>
      <w:r w:rsidRPr="007078A1">
        <w:rPr>
          <w:b/>
          <w:bCs/>
          <w:color w:val="FF0000"/>
          <w:lang w:val="en-US"/>
        </w:rPr>
        <w:t xml:space="preserve">rchitecture Modulation </w:t>
      </w:r>
      <w:r>
        <w:rPr>
          <w:b/>
          <w:bCs/>
          <w:color w:val="FF0000"/>
          <w:lang w:val="en-US"/>
        </w:rPr>
        <w:t>of</w:t>
      </w:r>
      <w:r w:rsidRPr="007078A1">
        <w:rPr>
          <w:b/>
          <w:bCs/>
          <w:color w:val="FF0000"/>
          <w:lang w:val="en-US"/>
        </w:rPr>
        <w:t xml:space="preserve"> </w:t>
      </w:r>
      <w:r>
        <w:rPr>
          <w:b/>
          <w:bCs/>
          <w:color w:val="FF0000"/>
          <w:lang w:val="en-US"/>
        </w:rPr>
        <w:t>the</w:t>
      </w:r>
      <w:r w:rsidRPr="007078A1">
        <w:rPr>
          <w:b/>
          <w:bCs/>
          <w:color w:val="FF0000"/>
          <w:lang w:val="en-US"/>
        </w:rPr>
        <w:t xml:space="preserve"> Metastatic Behavior </w:t>
      </w:r>
      <w:r>
        <w:rPr>
          <w:b/>
          <w:bCs/>
          <w:color w:val="FF0000"/>
          <w:lang w:val="en-US"/>
        </w:rPr>
        <w:t>of</w:t>
      </w:r>
      <w:r w:rsidRPr="007078A1">
        <w:rPr>
          <w:b/>
          <w:bCs/>
          <w:color w:val="FF0000"/>
          <w:lang w:val="en-US"/>
        </w:rPr>
        <w:t xml:space="preserve"> Pancreatic Ductal Adenocarcinoma </w:t>
      </w:r>
      <w:r>
        <w:rPr>
          <w:b/>
          <w:bCs/>
          <w:color w:val="FF0000"/>
          <w:lang w:val="en-US"/>
        </w:rPr>
        <w:t>in</w:t>
      </w:r>
      <w:r w:rsidRPr="007078A1">
        <w:rPr>
          <w:b/>
          <w:bCs/>
          <w:color w:val="FF0000"/>
          <w:lang w:val="en-US"/>
        </w:rPr>
        <w:t xml:space="preserve"> Alternative </w:t>
      </w:r>
      <w:r w:rsidR="00543636" w:rsidRPr="00543636">
        <w:rPr>
          <w:b/>
          <w:bCs/>
          <w:i/>
          <w:iCs/>
          <w:color w:val="FF0000"/>
          <w:lang w:val="en-US"/>
        </w:rPr>
        <w:t>i</w:t>
      </w:r>
      <w:r w:rsidRPr="00543636">
        <w:rPr>
          <w:b/>
          <w:bCs/>
          <w:i/>
          <w:iCs/>
          <w:color w:val="FF0000"/>
          <w:lang w:val="en-US"/>
        </w:rPr>
        <w:t>n Vivo</w:t>
      </w:r>
      <w:r w:rsidRPr="007078A1">
        <w:rPr>
          <w:b/>
          <w:bCs/>
          <w:color w:val="FF0000"/>
          <w:lang w:val="en-US"/>
        </w:rPr>
        <w:t xml:space="preserve"> Models</w:t>
      </w:r>
      <w:r w:rsidR="00683367" w:rsidRPr="00594D39">
        <w:rPr>
          <w:b/>
          <w:bCs/>
          <w:color w:val="FF0000"/>
          <w:lang w:val="en-US"/>
        </w:rPr>
        <w:t xml:space="preserve"> </w:t>
      </w:r>
    </w:p>
    <w:p w14:paraId="70C17E0F" w14:textId="0905EF95" w:rsidR="006A2D44" w:rsidRPr="00214292" w:rsidRDefault="006A2D44" w:rsidP="006A2D44">
      <w:pPr>
        <w:jc w:val="both"/>
      </w:pPr>
      <w:r w:rsidRPr="00214292">
        <w:t>Agata Zamborlin,</w:t>
      </w:r>
      <w:r w:rsidRPr="00214292">
        <w:rPr>
          <w:vertAlign w:val="superscript"/>
        </w:rPr>
        <w:t>1,2</w:t>
      </w:r>
      <w:r w:rsidRPr="00214292">
        <w:t xml:space="preserve"> Patrizia Sarogni,</w:t>
      </w:r>
      <w:r w:rsidRPr="00214292">
        <w:rPr>
          <w:vertAlign w:val="superscript"/>
        </w:rPr>
        <w:t>1</w:t>
      </w:r>
      <w:r w:rsidRPr="00214292">
        <w:t xml:space="preserve"> Valentina Frusca,</w:t>
      </w:r>
      <w:r w:rsidRPr="00214292">
        <w:rPr>
          <w:vertAlign w:val="superscript"/>
        </w:rPr>
        <w:t>1,3</w:t>
      </w:r>
      <w:r w:rsidRPr="00214292">
        <w:t xml:space="preserve"> Alessandra Gonnelli,</w:t>
      </w:r>
      <w:r w:rsidRPr="00214292">
        <w:rPr>
          <w:vertAlign w:val="superscript"/>
        </w:rPr>
        <w:t>1,4</w:t>
      </w:r>
      <w:r w:rsidRPr="00214292">
        <w:t xml:space="preserve"> Noemi Giannini,</w:t>
      </w:r>
      <w:r w:rsidRPr="00214292">
        <w:rPr>
          <w:vertAlign w:val="superscript"/>
        </w:rPr>
        <w:t>1,4</w:t>
      </w:r>
      <w:r w:rsidRPr="00214292">
        <w:t xml:space="preserve"> Maria Laura Ermini,</w:t>
      </w:r>
      <w:r w:rsidRPr="00214292">
        <w:rPr>
          <w:vertAlign w:val="superscript"/>
        </w:rPr>
        <w:t>1</w:t>
      </w:r>
      <w:r w:rsidRPr="00214292">
        <w:t xml:space="preserve"> Andrea Marranci,</w:t>
      </w:r>
      <w:r w:rsidRPr="00214292">
        <w:rPr>
          <w:vertAlign w:val="superscript"/>
        </w:rPr>
        <w:t>5</w:t>
      </w:r>
      <w:r w:rsidRPr="00214292">
        <w:t xml:space="preserve"> Francesca Pagliari,</w:t>
      </w:r>
      <w:r w:rsidRPr="00214292">
        <w:rPr>
          <w:vertAlign w:val="superscript"/>
        </w:rPr>
        <w:t>6</w:t>
      </w:r>
      <w:r w:rsidRPr="00214292">
        <w:t xml:space="preserve"> Chiara Maria Mazzanti,</w:t>
      </w:r>
      <w:r w:rsidRPr="00214292">
        <w:rPr>
          <w:vertAlign w:val="superscript"/>
        </w:rPr>
        <w:t>5</w:t>
      </w:r>
      <w:r w:rsidRPr="00214292">
        <w:t xml:space="preserve"> Joao Carlos Seco,</w:t>
      </w:r>
      <w:r w:rsidRPr="00214292">
        <w:rPr>
          <w:vertAlign w:val="superscript"/>
        </w:rPr>
        <w:t>6,7</w:t>
      </w:r>
      <w:r w:rsidRPr="00214292">
        <w:t xml:space="preserve"> and Valerio Voliani</w:t>
      </w:r>
      <w:r w:rsidRPr="00214292">
        <w:rPr>
          <w:vertAlign w:val="superscript"/>
        </w:rPr>
        <w:t>1,8</w:t>
      </w:r>
    </w:p>
    <w:p w14:paraId="4A0DF2EB" w14:textId="77777777" w:rsidR="006A2D44" w:rsidRPr="00214292" w:rsidRDefault="006A2D44" w:rsidP="006A2D44">
      <w:pPr>
        <w:spacing w:line="240" w:lineRule="auto"/>
        <w:jc w:val="both"/>
        <w:rPr>
          <w:color w:val="000000" w:themeColor="text1"/>
        </w:rPr>
      </w:pPr>
      <w:r w:rsidRPr="00214292">
        <w:rPr>
          <w:color w:val="000000" w:themeColor="text1"/>
          <w:vertAlign w:val="superscript"/>
        </w:rPr>
        <w:t>1</w:t>
      </w:r>
      <w:r w:rsidRPr="00214292">
        <w:rPr>
          <w:color w:val="000000" w:themeColor="text1"/>
        </w:rPr>
        <w:t xml:space="preserve"> Center for Nanotechnology Innovation@ NEST, Istituto Italiano di Tecnologia, Piazza San Silvestro, 12 – 56127, Pisa, Italy </w:t>
      </w:r>
    </w:p>
    <w:p w14:paraId="142D09C0" w14:textId="77777777" w:rsidR="006A2D44" w:rsidRPr="00214292" w:rsidRDefault="006A2D44" w:rsidP="006A2D44">
      <w:pPr>
        <w:spacing w:line="240" w:lineRule="auto"/>
        <w:jc w:val="both"/>
        <w:rPr>
          <w:color w:val="000000" w:themeColor="text1"/>
        </w:rPr>
      </w:pPr>
      <w:r w:rsidRPr="00214292">
        <w:rPr>
          <w:color w:val="000000" w:themeColor="text1"/>
          <w:vertAlign w:val="superscript"/>
        </w:rPr>
        <w:t>2</w:t>
      </w:r>
      <w:r w:rsidRPr="00214292">
        <w:rPr>
          <w:color w:val="000000" w:themeColor="text1"/>
        </w:rPr>
        <w:t xml:space="preserve"> NEST-Scuola Normale Superiore, Piazza San Silvestro, 12 – 56127, Pisa, Italy </w:t>
      </w:r>
    </w:p>
    <w:p w14:paraId="1EDBBF34" w14:textId="77777777" w:rsidR="006A2D44" w:rsidRPr="00214292" w:rsidRDefault="006A2D44" w:rsidP="006A2D44">
      <w:pPr>
        <w:spacing w:line="240" w:lineRule="auto"/>
        <w:jc w:val="both"/>
        <w:rPr>
          <w:color w:val="000000" w:themeColor="text1"/>
        </w:rPr>
      </w:pPr>
      <w:r w:rsidRPr="00214292">
        <w:rPr>
          <w:color w:val="000000" w:themeColor="text1"/>
          <w:vertAlign w:val="superscript"/>
        </w:rPr>
        <w:t>3</w:t>
      </w:r>
      <w:r w:rsidRPr="00214292">
        <w:rPr>
          <w:color w:val="000000" w:themeColor="text1"/>
        </w:rPr>
        <w:t xml:space="preserve"> Scuola Superiore Sant’Anna, Piazza Martiri della Libertà, 33 – 56127, Pisa, Italy</w:t>
      </w:r>
    </w:p>
    <w:p w14:paraId="6F42E70F" w14:textId="77777777" w:rsidR="006A2D44" w:rsidRPr="00214292" w:rsidRDefault="006A2D44" w:rsidP="006A2D44">
      <w:pPr>
        <w:spacing w:line="240" w:lineRule="auto"/>
        <w:jc w:val="both"/>
        <w:rPr>
          <w:color w:val="000000" w:themeColor="text1"/>
          <w:vertAlign w:val="superscript"/>
        </w:rPr>
      </w:pPr>
      <w:r w:rsidRPr="00214292">
        <w:rPr>
          <w:color w:val="000000" w:themeColor="text1"/>
          <w:vertAlign w:val="superscript"/>
        </w:rPr>
        <w:t>4</w:t>
      </w:r>
      <w:r w:rsidRPr="00214292">
        <w:rPr>
          <w:color w:val="000000" w:themeColor="text1"/>
        </w:rPr>
        <w:t xml:space="preserve"> </w:t>
      </w:r>
      <w:proofErr w:type="spellStart"/>
      <w:r w:rsidRPr="00214292">
        <w:rPr>
          <w:color w:val="000000" w:themeColor="text1"/>
        </w:rPr>
        <w:t>Radiation</w:t>
      </w:r>
      <w:proofErr w:type="spellEnd"/>
      <w:r w:rsidRPr="00214292">
        <w:rPr>
          <w:color w:val="000000" w:themeColor="text1"/>
        </w:rPr>
        <w:t xml:space="preserve"> </w:t>
      </w:r>
      <w:proofErr w:type="spellStart"/>
      <w:r w:rsidRPr="00214292">
        <w:rPr>
          <w:color w:val="000000" w:themeColor="text1"/>
        </w:rPr>
        <w:t>Oncology</w:t>
      </w:r>
      <w:proofErr w:type="spellEnd"/>
      <w:r w:rsidRPr="00214292">
        <w:rPr>
          <w:color w:val="000000" w:themeColor="text1"/>
        </w:rPr>
        <w:t xml:space="preserve"> Unit, Pisa University Hospital "Azienda Ospedaliero-Universitaria Pisana", Via Roma 67 – 56126 Pisa, Italy</w:t>
      </w:r>
      <w:r w:rsidRPr="00214292">
        <w:rPr>
          <w:color w:val="000000" w:themeColor="text1"/>
          <w:vertAlign w:val="superscript"/>
        </w:rPr>
        <w:t xml:space="preserve"> </w:t>
      </w:r>
    </w:p>
    <w:p w14:paraId="74A71AFD" w14:textId="77777777" w:rsidR="006A2D44" w:rsidRPr="00214292" w:rsidRDefault="006A2D44" w:rsidP="006A2D44">
      <w:pPr>
        <w:spacing w:line="240" w:lineRule="auto"/>
        <w:jc w:val="both"/>
        <w:rPr>
          <w:color w:val="000000" w:themeColor="text1"/>
        </w:rPr>
      </w:pPr>
      <w:r w:rsidRPr="00214292">
        <w:rPr>
          <w:color w:val="000000" w:themeColor="text1"/>
          <w:vertAlign w:val="superscript"/>
        </w:rPr>
        <w:t>5</w:t>
      </w:r>
      <w:r w:rsidRPr="00214292">
        <w:rPr>
          <w:color w:val="000000" w:themeColor="text1"/>
        </w:rPr>
        <w:t xml:space="preserve"> Fondazione Pisana per la Scienza ONLUS, via Ferruccio Giovannini 13 – 56017, S. Giuliano Terme, Pisa, Italy</w:t>
      </w:r>
    </w:p>
    <w:p w14:paraId="49C35585" w14:textId="77777777" w:rsidR="006A2D44" w:rsidRPr="001212E7" w:rsidRDefault="006A2D44" w:rsidP="006A2D44">
      <w:pPr>
        <w:spacing w:line="240" w:lineRule="auto"/>
        <w:jc w:val="both"/>
        <w:rPr>
          <w:color w:val="000000" w:themeColor="text1"/>
          <w:lang w:val="en-US"/>
        </w:rPr>
      </w:pPr>
      <w:r w:rsidRPr="001212E7">
        <w:rPr>
          <w:color w:val="000000" w:themeColor="text1"/>
          <w:vertAlign w:val="superscript"/>
          <w:lang w:val="en-US"/>
        </w:rPr>
        <w:t>6</w:t>
      </w:r>
      <w:r w:rsidRPr="001212E7">
        <w:rPr>
          <w:color w:val="000000" w:themeColor="text1"/>
          <w:lang w:val="en-US"/>
        </w:rPr>
        <w:t xml:space="preserve"> Division of </w:t>
      </w:r>
      <w:proofErr w:type="spellStart"/>
      <w:r w:rsidRPr="001212E7">
        <w:rPr>
          <w:color w:val="000000" w:themeColor="text1"/>
          <w:lang w:val="en-US"/>
        </w:rPr>
        <w:t>BioMedical</w:t>
      </w:r>
      <w:proofErr w:type="spellEnd"/>
      <w:r w:rsidRPr="001212E7">
        <w:rPr>
          <w:color w:val="000000" w:themeColor="text1"/>
          <w:lang w:val="en-US"/>
        </w:rPr>
        <w:t xml:space="preserve"> Physics in Radiation Oncology, German Cancer Research Center, 69120 Heidelberg, Germany</w:t>
      </w:r>
    </w:p>
    <w:p w14:paraId="65B4A1A9" w14:textId="77777777" w:rsidR="006A2D44" w:rsidRPr="001212E7" w:rsidRDefault="006A2D44" w:rsidP="006A2D44">
      <w:pPr>
        <w:spacing w:line="240" w:lineRule="auto"/>
        <w:jc w:val="both"/>
        <w:rPr>
          <w:color w:val="000000" w:themeColor="text1"/>
          <w:lang w:val="en-US"/>
        </w:rPr>
      </w:pPr>
      <w:r w:rsidRPr="001212E7">
        <w:rPr>
          <w:color w:val="000000" w:themeColor="text1"/>
          <w:vertAlign w:val="superscript"/>
          <w:lang w:val="en-US"/>
        </w:rPr>
        <w:t>7</w:t>
      </w:r>
      <w:r w:rsidRPr="001212E7">
        <w:rPr>
          <w:color w:val="000000" w:themeColor="text1"/>
          <w:lang w:val="en-US"/>
        </w:rPr>
        <w:t xml:space="preserve"> Department of Physics and Astronomy, Heidelberg University, </w:t>
      </w:r>
      <w:proofErr w:type="spellStart"/>
      <w:r w:rsidRPr="001212E7">
        <w:rPr>
          <w:color w:val="000000" w:themeColor="text1"/>
          <w:lang w:val="en-US"/>
        </w:rPr>
        <w:t>Im</w:t>
      </w:r>
      <w:proofErr w:type="spellEnd"/>
      <w:r w:rsidRPr="001212E7">
        <w:rPr>
          <w:color w:val="000000" w:themeColor="text1"/>
          <w:lang w:val="en-US"/>
        </w:rPr>
        <w:t xml:space="preserve"> </w:t>
      </w:r>
      <w:proofErr w:type="spellStart"/>
      <w:r w:rsidRPr="001212E7">
        <w:rPr>
          <w:color w:val="000000" w:themeColor="text1"/>
          <w:lang w:val="en-US"/>
        </w:rPr>
        <w:t>Neuenheimer</w:t>
      </w:r>
      <w:proofErr w:type="spellEnd"/>
      <w:r w:rsidRPr="001212E7">
        <w:rPr>
          <w:color w:val="000000" w:themeColor="text1"/>
          <w:lang w:val="en-US"/>
        </w:rPr>
        <w:t xml:space="preserve"> Feld 227, 69120 Heidelberg, Germany</w:t>
      </w:r>
    </w:p>
    <w:p w14:paraId="35CAFCAD" w14:textId="63CEC1C7" w:rsidR="00293CDC" w:rsidRPr="006A2D44" w:rsidRDefault="006A2D44" w:rsidP="006A2D44">
      <w:pPr>
        <w:spacing w:line="240" w:lineRule="auto"/>
        <w:jc w:val="both"/>
        <w:rPr>
          <w:color w:val="000000" w:themeColor="text1"/>
          <w:lang w:val="en-US"/>
        </w:rPr>
      </w:pPr>
      <w:r w:rsidRPr="001212E7">
        <w:rPr>
          <w:color w:val="000000" w:themeColor="text1"/>
          <w:vertAlign w:val="superscript"/>
          <w:lang w:val="en-US"/>
        </w:rPr>
        <w:t>8</w:t>
      </w:r>
      <w:r w:rsidRPr="001212E7">
        <w:rPr>
          <w:color w:val="000000" w:themeColor="text1"/>
          <w:lang w:val="en-US"/>
        </w:rPr>
        <w:t xml:space="preserve"> Department of Pharmacy, </w:t>
      </w:r>
      <w:r>
        <w:rPr>
          <w:color w:val="000000" w:themeColor="text1"/>
          <w:lang w:val="en-US"/>
        </w:rPr>
        <w:t xml:space="preserve">School of Medical and Pharmaceutical Sciences, </w:t>
      </w:r>
      <w:r w:rsidRPr="001212E7">
        <w:rPr>
          <w:color w:val="000000" w:themeColor="text1"/>
          <w:lang w:val="en-US"/>
        </w:rPr>
        <w:t xml:space="preserve">University of Genoa, </w:t>
      </w:r>
      <w:proofErr w:type="spellStart"/>
      <w:r w:rsidRPr="001212E7">
        <w:rPr>
          <w:color w:val="000000" w:themeColor="text1"/>
          <w:lang w:val="en-US"/>
        </w:rPr>
        <w:t>Viale</w:t>
      </w:r>
      <w:proofErr w:type="spellEnd"/>
      <w:r w:rsidRPr="001212E7">
        <w:rPr>
          <w:color w:val="000000" w:themeColor="text1"/>
          <w:lang w:val="en-US"/>
        </w:rPr>
        <w:t xml:space="preserve"> </w:t>
      </w:r>
      <w:proofErr w:type="spellStart"/>
      <w:r w:rsidRPr="001212E7">
        <w:rPr>
          <w:color w:val="000000" w:themeColor="text1"/>
          <w:lang w:val="en-US"/>
        </w:rPr>
        <w:t>Cembrano</w:t>
      </w:r>
      <w:proofErr w:type="spellEnd"/>
      <w:r w:rsidRPr="001212E7">
        <w:rPr>
          <w:color w:val="000000" w:themeColor="text1"/>
          <w:lang w:val="en-US"/>
        </w:rPr>
        <w:t>, 4 – 16148, Genoa, Italy</w:t>
      </w:r>
    </w:p>
    <w:p w14:paraId="75F90094" w14:textId="77777777" w:rsidR="009A50B7" w:rsidRDefault="006A2D44" w:rsidP="009A50B7">
      <w:pPr>
        <w:jc w:val="center"/>
        <w:rPr>
          <w:b/>
          <w:bCs/>
          <w:lang w:val="en-US"/>
        </w:rPr>
      </w:pPr>
      <w:r w:rsidRPr="006A2D44">
        <w:rPr>
          <w:b/>
          <w:bCs/>
          <w:lang w:val="en-US"/>
        </w:rPr>
        <w:t>Sup</w:t>
      </w:r>
      <w:r w:rsidR="009A50B7">
        <w:rPr>
          <w:b/>
          <w:bCs/>
          <w:lang w:val="en-US"/>
        </w:rPr>
        <w:t>porting</w:t>
      </w:r>
      <w:r w:rsidRPr="006A2D44">
        <w:rPr>
          <w:b/>
          <w:bCs/>
          <w:lang w:val="en-US"/>
        </w:rPr>
        <w:t xml:space="preserve"> Information</w:t>
      </w:r>
    </w:p>
    <w:p w14:paraId="75CC808E" w14:textId="77777777" w:rsidR="005326D0" w:rsidRDefault="00594D39" w:rsidP="005326D0">
      <w:pPr>
        <w:keepNext/>
        <w:jc w:val="center"/>
      </w:pPr>
      <w:r>
        <w:rPr>
          <w:noProof/>
        </w:rPr>
        <w:drawing>
          <wp:inline distT="0" distB="0" distL="0" distR="0" wp14:anchorId="0AFA71BE" wp14:editId="52B3DE41">
            <wp:extent cx="2273300" cy="1390650"/>
            <wp:effectExtent l="0" t="0" r="0" b="0"/>
            <wp:docPr id="1110383857" name="Immagine 1" descr="Immagine che contiene testo, schermata, Carattere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0383857" name="Immagine 1" descr="Immagine che contiene testo, schermata, Carattere, diagramma&#10;&#10;Descrizione generata automaticamente"/>
                    <pic:cNvPicPr/>
                  </pic:nvPicPr>
                  <pic:blipFill rotWithShape="1">
                    <a:blip r:embed="rId7"/>
                    <a:srcRect l="31542" t="30068" r="31314" b="29533"/>
                    <a:stretch/>
                  </pic:blipFill>
                  <pic:spPr bwMode="auto">
                    <a:xfrm>
                      <a:off x="0" y="0"/>
                      <a:ext cx="2273300" cy="1390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16CF3E" w14:textId="2BFDA7D0" w:rsidR="00A84DBB" w:rsidRPr="005326D0" w:rsidRDefault="005326D0" w:rsidP="005326D0">
      <w:pPr>
        <w:pStyle w:val="Didascalia"/>
        <w:jc w:val="both"/>
        <w:rPr>
          <w:lang w:val="en-US"/>
        </w:rPr>
      </w:pPr>
      <w:r w:rsidRPr="005326D0">
        <w:rPr>
          <w:b/>
          <w:bCs/>
          <w:i w:val="0"/>
          <w:iCs w:val="0"/>
          <w:color w:val="auto"/>
          <w:sz w:val="22"/>
          <w:szCs w:val="22"/>
          <w:lang w:val="en-US"/>
        </w:rPr>
        <w:t xml:space="preserve">Figure </w:t>
      </w:r>
      <w:r w:rsidRPr="005326D0">
        <w:rPr>
          <w:b/>
          <w:bCs/>
          <w:i w:val="0"/>
          <w:iCs w:val="0"/>
          <w:color w:val="auto"/>
          <w:sz w:val="22"/>
          <w:szCs w:val="22"/>
        </w:rPr>
        <w:fldChar w:fldCharType="begin"/>
      </w:r>
      <w:r w:rsidRPr="005326D0">
        <w:rPr>
          <w:b/>
          <w:bCs/>
          <w:i w:val="0"/>
          <w:iCs w:val="0"/>
          <w:color w:val="auto"/>
          <w:sz w:val="22"/>
          <w:szCs w:val="22"/>
          <w:lang w:val="en-US"/>
        </w:rPr>
        <w:instrText xml:space="preserve"> SEQ Figure \* ARABIC </w:instrText>
      </w:r>
      <w:r w:rsidRPr="005326D0">
        <w:rPr>
          <w:b/>
          <w:bCs/>
          <w:i w:val="0"/>
          <w:iCs w:val="0"/>
          <w:color w:val="auto"/>
          <w:sz w:val="22"/>
          <w:szCs w:val="22"/>
        </w:rPr>
        <w:fldChar w:fldCharType="separate"/>
      </w:r>
      <w:r>
        <w:rPr>
          <w:b/>
          <w:bCs/>
          <w:i w:val="0"/>
          <w:iCs w:val="0"/>
          <w:noProof/>
          <w:color w:val="auto"/>
          <w:sz w:val="22"/>
          <w:szCs w:val="22"/>
          <w:lang w:val="en-US"/>
        </w:rPr>
        <w:t>1</w:t>
      </w:r>
      <w:r w:rsidRPr="005326D0">
        <w:rPr>
          <w:b/>
          <w:bCs/>
          <w:i w:val="0"/>
          <w:iCs w:val="0"/>
          <w:color w:val="auto"/>
          <w:sz w:val="22"/>
          <w:szCs w:val="22"/>
        </w:rPr>
        <w:fldChar w:fldCharType="end"/>
      </w:r>
      <w:r w:rsidRPr="005326D0">
        <w:rPr>
          <w:b/>
          <w:bCs/>
          <w:i w:val="0"/>
          <w:iCs w:val="0"/>
          <w:color w:val="auto"/>
          <w:sz w:val="22"/>
          <w:szCs w:val="22"/>
          <w:lang w:val="en-US"/>
        </w:rPr>
        <w:t>SI.</w:t>
      </w:r>
      <w:r w:rsidRPr="005326D0">
        <w:rPr>
          <w:sz w:val="22"/>
          <w:szCs w:val="22"/>
          <w:lang w:val="en-US"/>
        </w:rPr>
        <w:t xml:space="preserve"> </w:t>
      </w:r>
      <w:r w:rsidRPr="004B10F5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Viability </w:t>
      </w:r>
      <w:r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of</w:t>
      </w:r>
      <w:r w:rsidRPr="004B10F5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 BxPC-3 cells after </w:t>
      </w:r>
      <w:r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MF</w:t>
      </w:r>
      <w:r w:rsidRPr="004B10F5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NAs treatment. 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Viability assays on BxPC-3 cells after 24h-incubation with </w:t>
      </w:r>
      <w:r>
        <w:rPr>
          <w:i w:val="0"/>
          <w:iCs w:val="0"/>
          <w:color w:val="000000" w:themeColor="text1"/>
          <w:sz w:val="22"/>
          <w:szCs w:val="22"/>
          <w:lang w:val="en-US"/>
        </w:rPr>
        <w:t>MFNAs. %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Viability was measured compared to the untreated cells (complete medium) for each time point. Data are reported as mean </w:t>
      </w:r>
      <w:r w:rsidRPr="004B10F5">
        <w:rPr>
          <w:rFonts w:cstheme="minorHAnsi"/>
          <w:i w:val="0"/>
          <w:iCs w:val="0"/>
          <w:color w:val="000000" w:themeColor="text1"/>
          <w:sz w:val="22"/>
          <w:szCs w:val="22"/>
          <w:lang w:val="en-US"/>
        </w:rPr>
        <w:t>±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 standard deviation from two independent experiments performed in triplicate. Statistical analysis was performed using multiple t-test with Holm-</w:t>
      </w:r>
      <w:proofErr w:type="spellStart"/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>Sidak’s</w:t>
      </w:r>
      <w:proofErr w:type="spellEnd"/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 multiple comparison test, *p&lt;0.05 **p&lt;0.01 ***p&lt;0.001 ****p&lt;0.0001.</w:t>
      </w:r>
    </w:p>
    <w:p w14:paraId="599417D4" w14:textId="77777777" w:rsidR="005326D0" w:rsidRDefault="005326D0" w:rsidP="005326D0">
      <w:pPr>
        <w:keepNext/>
      </w:pPr>
      <w:r>
        <w:rPr>
          <w:noProof/>
        </w:rPr>
        <w:lastRenderedPageBreak/>
        <w:drawing>
          <wp:inline distT="0" distB="0" distL="0" distR="0" wp14:anchorId="0B2E2C78" wp14:editId="149E55B4">
            <wp:extent cx="6120130" cy="1454150"/>
            <wp:effectExtent l="0" t="0" r="0" b="0"/>
            <wp:docPr id="518337140" name="Immagine 1" descr="Immagine che contiene diagramma, schermata, line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337140" name="Immagine 1" descr="Immagine che contiene diagramma, schermata, linea, testo&#10;&#10;Descrizione generata automaticamente"/>
                    <pic:cNvPicPr/>
                  </pic:nvPicPr>
                  <pic:blipFill rotWithShape="1">
                    <a:blip r:embed="rId8"/>
                    <a:srcRect t="4242" b="53514"/>
                    <a:stretch/>
                  </pic:blipFill>
                  <pic:spPr bwMode="auto">
                    <a:xfrm>
                      <a:off x="0" y="0"/>
                      <a:ext cx="6120130" cy="1454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405C646" w14:textId="790E57C9" w:rsidR="00B41871" w:rsidRPr="005326D0" w:rsidRDefault="005326D0" w:rsidP="005326D0">
      <w:pPr>
        <w:pStyle w:val="Didascalia"/>
        <w:jc w:val="both"/>
        <w:rPr>
          <w:i w:val="0"/>
          <w:iCs w:val="0"/>
          <w:color w:val="auto"/>
          <w:sz w:val="22"/>
          <w:szCs w:val="22"/>
          <w:lang w:val="en-US"/>
        </w:rPr>
      </w:pPr>
      <w:r w:rsidRPr="005326D0">
        <w:rPr>
          <w:b/>
          <w:bCs/>
          <w:i w:val="0"/>
          <w:iCs w:val="0"/>
          <w:color w:val="auto"/>
          <w:sz w:val="22"/>
          <w:szCs w:val="22"/>
          <w:lang w:val="en-US"/>
        </w:rPr>
        <w:t xml:space="preserve">Figure </w:t>
      </w:r>
      <w:r w:rsidRPr="005326D0">
        <w:rPr>
          <w:b/>
          <w:bCs/>
          <w:i w:val="0"/>
          <w:iCs w:val="0"/>
          <w:color w:val="auto"/>
          <w:sz w:val="22"/>
          <w:szCs w:val="22"/>
        </w:rPr>
        <w:fldChar w:fldCharType="begin"/>
      </w:r>
      <w:r w:rsidRPr="005326D0">
        <w:rPr>
          <w:b/>
          <w:bCs/>
          <w:i w:val="0"/>
          <w:iCs w:val="0"/>
          <w:color w:val="auto"/>
          <w:sz w:val="22"/>
          <w:szCs w:val="22"/>
          <w:lang w:val="en-US"/>
        </w:rPr>
        <w:instrText xml:space="preserve"> SEQ Figure \* ARABIC </w:instrText>
      </w:r>
      <w:r w:rsidRPr="005326D0">
        <w:rPr>
          <w:b/>
          <w:bCs/>
          <w:i w:val="0"/>
          <w:iCs w:val="0"/>
          <w:color w:val="auto"/>
          <w:sz w:val="22"/>
          <w:szCs w:val="22"/>
        </w:rPr>
        <w:fldChar w:fldCharType="separate"/>
      </w:r>
      <w:r>
        <w:rPr>
          <w:b/>
          <w:bCs/>
          <w:i w:val="0"/>
          <w:iCs w:val="0"/>
          <w:noProof/>
          <w:color w:val="auto"/>
          <w:sz w:val="22"/>
          <w:szCs w:val="22"/>
          <w:lang w:val="en-US"/>
        </w:rPr>
        <w:t>2</w:t>
      </w:r>
      <w:r w:rsidRPr="005326D0">
        <w:rPr>
          <w:b/>
          <w:bCs/>
          <w:i w:val="0"/>
          <w:iCs w:val="0"/>
          <w:color w:val="auto"/>
          <w:sz w:val="22"/>
          <w:szCs w:val="22"/>
        </w:rPr>
        <w:fldChar w:fldCharType="end"/>
      </w:r>
      <w:r w:rsidRPr="005326D0">
        <w:rPr>
          <w:b/>
          <w:bCs/>
          <w:i w:val="0"/>
          <w:iCs w:val="0"/>
          <w:color w:val="auto"/>
          <w:sz w:val="22"/>
          <w:szCs w:val="22"/>
          <w:lang w:val="en-US"/>
        </w:rPr>
        <w:t>SI. Metal uptake in 2D culture of BxPC-3 cells at different time points after 24h-incubation</w:t>
      </w:r>
      <w:r>
        <w:rPr>
          <w:i w:val="0"/>
          <w:iCs w:val="0"/>
          <w:color w:val="auto"/>
          <w:sz w:val="22"/>
          <w:szCs w:val="22"/>
          <w:lang w:val="en-US"/>
        </w:rPr>
        <w:t xml:space="preserve"> with AuNAs and CuNAs. </w:t>
      </w:r>
      <w:r w:rsidRPr="001E0B05">
        <w:rPr>
          <w:b/>
          <w:bCs/>
          <w:i w:val="0"/>
          <w:iCs w:val="0"/>
          <w:color w:val="auto"/>
          <w:sz w:val="22"/>
          <w:szCs w:val="22"/>
          <w:lang w:val="en-US"/>
        </w:rPr>
        <w:t>(a)</w:t>
      </w:r>
      <w:r>
        <w:rPr>
          <w:i w:val="0"/>
          <w:iCs w:val="0"/>
          <w:color w:val="auto"/>
          <w:sz w:val="22"/>
          <w:szCs w:val="22"/>
          <w:lang w:val="en-US"/>
        </w:rPr>
        <w:t xml:space="preserve"> 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>µ</w:t>
      </w:r>
      <w:r>
        <w:rPr>
          <w:i w:val="0"/>
          <w:iCs w:val="0"/>
          <w:color w:val="auto"/>
          <w:sz w:val="22"/>
          <w:szCs w:val="22"/>
          <w:lang w:val="en-US"/>
        </w:rPr>
        <w:t xml:space="preserve">g of Au detected in cells. Au content decreased significantly over time. 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Statistical analysis was performed through multiple t-test, </w:t>
      </w:r>
      <w:r>
        <w:rPr>
          <w:i w:val="0"/>
          <w:iCs w:val="0"/>
          <w:color w:val="000000" w:themeColor="text1"/>
          <w:sz w:val="22"/>
          <w:szCs w:val="22"/>
          <w:lang w:val="en-US"/>
        </w:rPr>
        <w:t>Holm-</w:t>
      </w:r>
      <w:proofErr w:type="spellStart"/>
      <w:r>
        <w:rPr>
          <w:i w:val="0"/>
          <w:iCs w:val="0"/>
          <w:color w:val="000000" w:themeColor="text1"/>
          <w:sz w:val="22"/>
          <w:szCs w:val="22"/>
          <w:lang w:val="en-US"/>
        </w:rPr>
        <w:t>Sidak’s</w:t>
      </w:r>
      <w:proofErr w:type="spellEnd"/>
      <w:r>
        <w:rPr>
          <w:i w:val="0"/>
          <w:iCs w:val="0"/>
          <w:color w:val="000000" w:themeColor="text1"/>
          <w:sz w:val="22"/>
          <w:szCs w:val="22"/>
          <w:lang w:val="en-US"/>
        </w:rPr>
        <w:t xml:space="preserve"> method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>, *p&lt;0.05</w:t>
      </w:r>
      <w:r>
        <w:rPr>
          <w:i w:val="0"/>
          <w:iCs w:val="0"/>
          <w:color w:val="000000" w:themeColor="text1"/>
          <w:sz w:val="22"/>
          <w:szCs w:val="22"/>
          <w:lang w:val="en-US"/>
        </w:rPr>
        <w:t xml:space="preserve">. </w:t>
      </w:r>
      <w:r w:rsidRPr="001E0B05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(b)</w:t>
      </w:r>
      <w:r>
        <w:rPr>
          <w:i w:val="0"/>
          <w:iCs w:val="0"/>
          <w:color w:val="000000" w:themeColor="text1"/>
          <w:sz w:val="22"/>
          <w:szCs w:val="22"/>
          <w:lang w:val="en-US"/>
        </w:rPr>
        <w:t xml:space="preserve"> 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>µ</w:t>
      </w:r>
      <w:r>
        <w:rPr>
          <w:i w:val="0"/>
          <w:iCs w:val="0"/>
          <w:color w:val="auto"/>
          <w:sz w:val="22"/>
          <w:szCs w:val="22"/>
          <w:lang w:val="en-US"/>
        </w:rPr>
        <w:t xml:space="preserve">g of Cu detected in cells. Copper content in untreated cells and AuNAs-treated cells is due to the endogenous copper levels in cells. 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Statistical analysis was performed through multiple t-test, </w:t>
      </w:r>
      <w:r>
        <w:rPr>
          <w:i w:val="0"/>
          <w:iCs w:val="0"/>
          <w:color w:val="000000" w:themeColor="text1"/>
          <w:sz w:val="22"/>
          <w:szCs w:val="22"/>
          <w:lang w:val="en-US"/>
        </w:rPr>
        <w:t>Holm-</w:t>
      </w:r>
      <w:proofErr w:type="spellStart"/>
      <w:r>
        <w:rPr>
          <w:i w:val="0"/>
          <w:iCs w:val="0"/>
          <w:color w:val="000000" w:themeColor="text1"/>
          <w:sz w:val="22"/>
          <w:szCs w:val="22"/>
          <w:lang w:val="en-US"/>
        </w:rPr>
        <w:t>Sidak’s</w:t>
      </w:r>
      <w:proofErr w:type="spellEnd"/>
      <w:r>
        <w:rPr>
          <w:i w:val="0"/>
          <w:iCs w:val="0"/>
          <w:color w:val="000000" w:themeColor="text1"/>
          <w:sz w:val="22"/>
          <w:szCs w:val="22"/>
          <w:lang w:val="en-US"/>
        </w:rPr>
        <w:t xml:space="preserve"> method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>, *p&lt;0.05</w:t>
      </w:r>
      <w:r>
        <w:rPr>
          <w:i w:val="0"/>
          <w:iCs w:val="0"/>
          <w:color w:val="000000" w:themeColor="text1"/>
          <w:sz w:val="22"/>
          <w:szCs w:val="22"/>
          <w:lang w:val="en-US"/>
        </w:rPr>
        <w:t>; and with Two-way ANOVA, Dunnett’s comparison, #p&lt;0.05 ##p&lt;0.01.</w:t>
      </w:r>
    </w:p>
    <w:p w14:paraId="664E7EBE" w14:textId="77777777" w:rsidR="005326D0" w:rsidRDefault="00B41871" w:rsidP="005326D0">
      <w:pPr>
        <w:keepNext/>
      </w:pPr>
      <w:r>
        <w:rPr>
          <w:noProof/>
        </w:rPr>
        <w:drawing>
          <wp:inline distT="0" distB="0" distL="0" distR="0" wp14:anchorId="38B33CB6" wp14:editId="285CDC67">
            <wp:extent cx="6120130" cy="3009900"/>
            <wp:effectExtent l="0" t="0" r="0" b="0"/>
            <wp:docPr id="1121002949" name="Immagine 1" descr="Immagine che contiene diagramma, testo, Disegno tecnico, Pia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1002949" name="Immagine 1" descr="Immagine che contiene diagramma, testo, Disegno tecnico, Piano&#10;&#10;Descrizione generata automaticamente"/>
                    <pic:cNvPicPr/>
                  </pic:nvPicPr>
                  <pic:blipFill rotWithShape="1">
                    <a:blip r:embed="rId9"/>
                    <a:srcRect t="5165" b="7397"/>
                    <a:stretch/>
                  </pic:blipFill>
                  <pic:spPr bwMode="auto">
                    <a:xfrm>
                      <a:off x="0" y="0"/>
                      <a:ext cx="6120130" cy="3009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7EDB26" w14:textId="4E9F5F73" w:rsidR="00B41871" w:rsidRPr="005326D0" w:rsidRDefault="005326D0" w:rsidP="005326D0">
      <w:pPr>
        <w:pStyle w:val="Didascalia"/>
        <w:jc w:val="both"/>
        <w:rPr>
          <w:lang w:val="en-US"/>
        </w:rPr>
      </w:pPr>
      <w:r w:rsidRPr="005326D0">
        <w:rPr>
          <w:b/>
          <w:bCs/>
          <w:i w:val="0"/>
          <w:iCs w:val="0"/>
          <w:color w:val="auto"/>
          <w:sz w:val="22"/>
          <w:szCs w:val="22"/>
          <w:lang w:val="en-US"/>
        </w:rPr>
        <w:t xml:space="preserve">Figure </w:t>
      </w:r>
      <w:r w:rsidRPr="005326D0">
        <w:rPr>
          <w:b/>
          <w:bCs/>
          <w:i w:val="0"/>
          <w:iCs w:val="0"/>
          <w:color w:val="auto"/>
          <w:sz w:val="22"/>
          <w:szCs w:val="22"/>
        </w:rPr>
        <w:fldChar w:fldCharType="begin"/>
      </w:r>
      <w:r w:rsidRPr="005326D0">
        <w:rPr>
          <w:b/>
          <w:bCs/>
          <w:i w:val="0"/>
          <w:iCs w:val="0"/>
          <w:color w:val="auto"/>
          <w:sz w:val="22"/>
          <w:szCs w:val="22"/>
          <w:lang w:val="en-US"/>
        </w:rPr>
        <w:instrText xml:space="preserve"> SEQ Figure \* ARABIC </w:instrText>
      </w:r>
      <w:r w:rsidRPr="005326D0">
        <w:rPr>
          <w:b/>
          <w:bCs/>
          <w:i w:val="0"/>
          <w:iCs w:val="0"/>
          <w:color w:val="auto"/>
          <w:sz w:val="22"/>
          <w:szCs w:val="22"/>
        </w:rPr>
        <w:fldChar w:fldCharType="separate"/>
      </w:r>
      <w:r w:rsidRPr="005326D0">
        <w:rPr>
          <w:b/>
          <w:bCs/>
          <w:i w:val="0"/>
          <w:iCs w:val="0"/>
          <w:noProof/>
          <w:color w:val="auto"/>
          <w:sz w:val="22"/>
          <w:szCs w:val="22"/>
          <w:lang w:val="en-US"/>
        </w:rPr>
        <w:t>3</w:t>
      </w:r>
      <w:r w:rsidRPr="005326D0">
        <w:rPr>
          <w:b/>
          <w:bCs/>
          <w:i w:val="0"/>
          <w:iCs w:val="0"/>
          <w:color w:val="auto"/>
          <w:sz w:val="22"/>
          <w:szCs w:val="22"/>
        </w:rPr>
        <w:fldChar w:fldCharType="end"/>
      </w:r>
      <w:r w:rsidRPr="00B41871">
        <w:rPr>
          <w:b/>
          <w:bCs/>
          <w:i w:val="0"/>
          <w:iCs w:val="0"/>
          <w:color w:val="auto"/>
          <w:sz w:val="22"/>
          <w:szCs w:val="22"/>
          <w:lang w:val="en-US"/>
        </w:rPr>
        <w:t xml:space="preserve">SI. (a) </w:t>
      </w:r>
      <w:r w:rsidRPr="00B41871">
        <w:rPr>
          <w:rFonts w:cstheme="minorHAnsi"/>
          <w:b/>
          <w:bCs/>
          <w:i w:val="0"/>
          <w:iCs w:val="0"/>
          <w:color w:val="auto"/>
          <w:sz w:val="22"/>
          <w:szCs w:val="22"/>
          <w:lang w:val="en-US"/>
        </w:rPr>
        <w:t>Tumor volume fold change compared to EDD 10</w:t>
      </w:r>
      <w:r w:rsidRPr="00B4104B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. 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>MF</w:t>
      </w:r>
      <w:r w:rsidRPr="00B4104B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NAs 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did not </w:t>
      </w:r>
      <w:r w:rsidRPr="00B4104B">
        <w:rPr>
          <w:rFonts w:cstheme="minorHAnsi"/>
          <w:i w:val="0"/>
          <w:iCs w:val="0"/>
          <w:color w:val="auto"/>
          <w:sz w:val="22"/>
          <w:szCs w:val="22"/>
          <w:lang w:val="en-US"/>
        </w:rPr>
        <w:t>reduce the tumor grow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th compared </w:t>
      </w:r>
      <w:r w:rsidRPr="00B4104B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to the untreated (control) eggs. Data are reported as mean ± standard deviation (control: n=10, 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>MF</w:t>
      </w:r>
      <w:r w:rsidRPr="00B4104B">
        <w:rPr>
          <w:rFonts w:cstheme="minorHAnsi"/>
          <w:i w:val="0"/>
          <w:iCs w:val="0"/>
          <w:color w:val="auto"/>
          <w:sz w:val="22"/>
          <w:szCs w:val="22"/>
          <w:lang w:val="en-US"/>
        </w:rPr>
        <w:t>NAs: n=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>6</w:t>
      </w:r>
      <w:r w:rsidRPr="00B4104B">
        <w:rPr>
          <w:rFonts w:cstheme="minorHAnsi"/>
          <w:i w:val="0"/>
          <w:iCs w:val="0"/>
          <w:color w:val="auto"/>
          <w:sz w:val="22"/>
          <w:szCs w:val="22"/>
          <w:lang w:val="en-US"/>
        </w:rPr>
        <w:t>). Statistical analysis was performed through two-way ANOVA, with Dunnett's comparison, *p&lt;0.05 **p&lt;0.01 ***p&lt;0.001 ****p&lt;0.0001.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 </w:t>
      </w:r>
      <w:r w:rsidRPr="00B41871">
        <w:rPr>
          <w:rFonts w:cstheme="minorHAnsi"/>
          <w:b/>
          <w:bCs/>
          <w:i w:val="0"/>
          <w:iCs w:val="0"/>
          <w:color w:val="auto"/>
          <w:sz w:val="22"/>
          <w:szCs w:val="22"/>
          <w:lang w:val="en-US"/>
        </w:rPr>
        <w:t>(b)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 </w:t>
      </w:r>
      <w:r w:rsidRPr="00B41871">
        <w:rPr>
          <w:rFonts w:cstheme="minorHAnsi"/>
          <w:b/>
          <w:bCs/>
          <w:i w:val="0"/>
          <w:iCs w:val="0"/>
          <w:color w:val="auto"/>
          <w:sz w:val="22"/>
          <w:szCs w:val="22"/>
          <w:lang w:val="en-US"/>
        </w:rPr>
        <w:t>Metastasis in the upper CAM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, displayed as percentage of metastatic upper CAM over the number of eggs. 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While 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>AuNAs and CuNAs slowed down cancer cell migration in the upper CAM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>, MFNAs behaved as the control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. 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>Control: d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>ata are reported as mean ± standard deviation on two independent experiments with n</w:t>
      </w:r>
      <w:r w:rsidRPr="00717376">
        <w:rPr>
          <w:rFonts w:cstheme="minorHAnsi"/>
          <w:i w:val="0"/>
          <w:iCs w:val="0"/>
          <w:color w:val="auto"/>
          <w:sz w:val="22"/>
          <w:szCs w:val="22"/>
          <w:vertAlign w:val="subscript"/>
          <w:lang w:val="en-US"/>
        </w:rPr>
        <w:t>1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 and n</w:t>
      </w:r>
      <w:r w:rsidRPr="00717376">
        <w:rPr>
          <w:rFonts w:cstheme="minorHAnsi"/>
          <w:i w:val="0"/>
          <w:iCs w:val="0"/>
          <w:color w:val="auto"/>
          <w:sz w:val="22"/>
          <w:szCs w:val="22"/>
          <w:vertAlign w:val="subscript"/>
          <w:lang w:val="en-US"/>
        </w:rPr>
        <w:t>2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 number of eggs each (0h: control n</w:t>
      </w:r>
      <w:r w:rsidRPr="00717376">
        <w:rPr>
          <w:rFonts w:cstheme="minorHAnsi"/>
          <w:i w:val="0"/>
          <w:iCs w:val="0"/>
          <w:color w:val="auto"/>
          <w:sz w:val="22"/>
          <w:szCs w:val="22"/>
          <w:vertAlign w:val="subscript"/>
          <w:lang w:val="en-US"/>
        </w:rPr>
        <w:t>1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>=12 n</w:t>
      </w:r>
      <w:r w:rsidRPr="00717376">
        <w:rPr>
          <w:rFonts w:cstheme="minorHAnsi"/>
          <w:i w:val="0"/>
          <w:iCs w:val="0"/>
          <w:color w:val="auto"/>
          <w:sz w:val="22"/>
          <w:szCs w:val="22"/>
          <w:vertAlign w:val="subscript"/>
          <w:lang w:val="en-US"/>
        </w:rPr>
        <w:t>2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>=18; 24h: control n</w:t>
      </w:r>
      <w:r w:rsidRPr="00717376">
        <w:rPr>
          <w:rFonts w:cstheme="minorHAnsi"/>
          <w:i w:val="0"/>
          <w:iCs w:val="0"/>
          <w:color w:val="auto"/>
          <w:sz w:val="22"/>
          <w:szCs w:val="22"/>
          <w:vertAlign w:val="subscript"/>
          <w:lang w:val="en-US"/>
        </w:rPr>
        <w:t>1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>=12 n</w:t>
      </w:r>
      <w:r w:rsidRPr="00717376">
        <w:rPr>
          <w:rFonts w:cstheme="minorHAnsi"/>
          <w:i w:val="0"/>
          <w:iCs w:val="0"/>
          <w:color w:val="auto"/>
          <w:sz w:val="22"/>
          <w:szCs w:val="22"/>
          <w:vertAlign w:val="subscript"/>
          <w:lang w:val="en-US"/>
        </w:rPr>
        <w:t>2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>=18; 48h: control n</w:t>
      </w:r>
      <w:r w:rsidRPr="00717376">
        <w:rPr>
          <w:rFonts w:cstheme="minorHAnsi"/>
          <w:i w:val="0"/>
          <w:iCs w:val="0"/>
          <w:color w:val="auto"/>
          <w:sz w:val="22"/>
          <w:szCs w:val="22"/>
          <w:vertAlign w:val="subscript"/>
          <w:lang w:val="en-US"/>
        </w:rPr>
        <w:t>1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>=8 n</w:t>
      </w:r>
      <w:r w:rsidRPr="00717376">
        <w:rPr>
          <w:rFonts w:cstheme="minorHAnsi"/>
          <w:i w:val="0"/>
          <w:iCs w:val="0"/>
          <w:color w:val="auto"/>
          <w:sz w:val="22"/>
          <w:szCs w:val="22"/>
          <w:vertAlign w:val="subscript"/>
          <w:lang w:val="en-US"/>
        </w:rPr>
        <w:t>2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>=12; 72h: control n</w:t>
      </w:r>
      <w:r w:rsidRPr="00717376">
        <w:rPr>
          <w:rFonts w:cstheme="minorHAnsi"/>
          <w:i w:val="0"/>
          <w:iCs w:val="0"/>
          <w:color w:val="auto"/>
          <w:sz w:val="22"/>
          <w:szCs w:val="22"/>
          <w:vertAlign w:val="subscript"/>
          <w:lang w:val="en-US"/>
        </w:rPr>
        <w:t>1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>=4 n</w:t>
      </w:r>
      <w:r w:rsidRPr="00717376">
        <w:rPr>
          <w:rFonts w:cstheme="minorHAnsi"/>
          <w:i w:val="0"/>
          <w:iCs w:val="0"/>
          <w:color w:val="auto"/>
          <w:sz w:val="22"/>
          <w:szCs w:val="22"/>
          <w:vertAlign w:val="subscript"/>
          <w:lang w:val="en-US"/>
        </w:rPr>
        <w:t>2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=7). 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MFNAs: data are reported as percentage of metastasis-bearing upper CAMs with n=6. </w:t>
      </w:r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Statistical analysis was performed through two-way ANOVA, with </w:t>
      </w:r>
      <w:proofErr w:type="spellStart"/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>Sidak's</w:t>
      </w:r>
      <w:proofErr w:type="spellEnd"/>
      <w:r w:rsidRPr="00717376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 comparison, *p&lt;0.05 **p&lt;0.01 ***p&lt;0.001 ****p&lt;0.0001.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 </w:t>
      </w:r>
      <w:r w:rsidRPr="00B41871">
        <w:rPr>
          <w:rFonts w:cstheme="minorHAnsi"/>
          <w:b/>
          <w:bCs/>
          <w:i w:val="0"/>
          <w:iCs w:val="0"/>
          <w:color w:val="auto"/>
          <w:sz w:val="22"/>
          <w:szCs w:val="22"/>
          <w:lang w:val="en-US"/>
        </w:rPr>
        <w:t>(c)</w:t>
      </w:r>
      <w:r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 </w:t>
      </w:r>
      <w:r w:rsidRPr="00B41871">
        <w:rPr>
          <w:b/>
          <w:bCs/>
          <w:i w:val="0"/>
          <w:iCs w:val="0"/>
          <w:color w:val="auto"/>
          <w:sz w:val="22"/>
          <w:szCs w:val="22"/>
          <w:lang w:val="en-US"/>
        </w:rPr>
        <w:t>MFNAs effects on the regulation of EMT-related genes on CAM tumors</w:t>
      </w:r>
      <w:r w:rsidRPr="00C62A8E">
        <w:rPr>
          <w:i w:val="0"/>
          <w:iCs w:val="0"/>
          <w:color w:val="auto"/>
          <w:sz w:val="22"/>
          <w:szCs w:val="22"/>
          <w:lang w:val="en-US"/>
        </w:rPr>
        <w:t xml:space="preserve">. rt-PCR analysis on tumors harvested 48h from CAM treated with </w:t>
      </w:r>
      <w:r>
        <w:rPr>
          <w:i w:val="0"/>
          <w:iCs w:val="0"/>
          <w:color w:val="auto"/>
          <w:sz w:val="22"/>
          <w:szCs w:val="22"/>
          <w:lang w:val="en-US"/>
        </w:rPr>
        <w:t>MF</w:t>
      </w:r>
      <w:r w:rsidRPr="00C62A8E">
        <w:rPr>
          <w:i w:val="0"/>
          <w:iCs w:val="0"/>
          <w:color w:val="auto"/>
          <w:sz w:val="22"/>
          <w:szCs w:val="22"/>
          <w:lang w:val="en-US"/>
        </w:rPr>
        <w:t>NAs</w:t>
      </w:r>
      <w:r>
        <w:rPr>
          <w:i w:val="0"/>
          <w:iCs w:val="0"/>
          <w:color w:val="auto"/>
          <w:sz w:val="22"/>
          <w:szCs w:val="22"/>
          <w:lang w:val="en-US"/>
        </w:rPr>
        <w:t xml:space="preserve"> showed no tendency of MFNAs in modulating EMT</w:t>
      </w:r>
      <w:r w:rsidRPr="00C62A8E">
        <w:rPr>
          <w:i w:val="0"/>
          <w:iCs w:val="0"/>
          <w:color w:val="auto"/>
          <w:sz w:val="22"/>
          <w:szCs w:val="22"/>
          <w:lang w:val="en-US"/>
        </w:rPr>
        <w:t>. Data are reported as mean ± standard deviation (N=3). Statistical analysis was performed through multiple t-test, Holm-</w:t>
      </w:r>
      <w:proofErr w:type="spellStart"/>
      <w:r w:rsidRPr="00C62A8E">
        <w:rPr>
          <w:i w:val="0"/>
          <w:iCs w:val="0"/>
          <w:color w:val="auto"/>
          <w:sz w:val="22"/>
          <w:szCs w:val="22"/>
          <w:lang w:val="en-US"/>
        </w:rPr>
        <w:t>Sidak’s</w:t>
      </w:r>
      <w:proofErr w:type="spellEnd"/>
      <w:r w:rsidRPr="00C62A8E">
        <w:rPr>
          <w:i w:val="0"/>
          <w:iCs w:val="0"/>
          <w:color w:val="auto"/>
          <w:sz w:val="22"/>
          <w:szCs w:val="22"/>
          <w:lang w:val="en-US"/>
        </w:rPr>
        <w:t xml:space="preserve"> method, *p&lt;0.05 **p&lt;0.01 ***p&lt;0.001 ****p&lt;0.0001.</w:t>
      </w:r>
      <w:r>
        <w:rPr>
          <w:i w:val="0"/>
          <w:iCs w:val="0"/>
          <w:color w:val="auto"/>
          <w:sz w:val="22"/>
          <w:szCs w:val="22"/>
          <w:lang w:val="en-US"/>
        </w:rPr>
        <w:t xml:space="preserve"> </w:t>
      </w:r>
      <w:r w:rsidRPr="00B41871">
        <w:rPr>
          <w:b/>
          <w:bCs/>
          <w:i w:val="0"/>
          <w:iCs w:val="0"/>
          <w:color w:val="auto"/>
          <w:sz w:val="22"/>
          <w:szCs w:val="22"/>
          <w:lang w:val="en-US"/>
        </w:rPr>
        <w:t>(d)</w:t>
      </w:r>
      <w:r>
        <w:rPr>
          <w:i w:val="0"/>
          <w:iCs w:val="0"/>
          <w:color w:val="auto"/>
          <w:sz w:val="22"/>
          <w:szCs w:val="22"/>
          <w:lang w:val="en-US"/>
        </w:rPr>
        <w:t xml:space="preserve"> </w:t>
      </w:r>
      <w:r w:rsidRPr="00B41871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Quantification of the cancer cells in the lower CAM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 by </w:t>
      </w:r>
      <w:bookmarkStart w:id="0" w:name="OLE_LINK2"/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rt-PCR analysis of </w:t>
      </w:r>
      <w:r w:rsidRPr="004B10F5">
        <w:rPr>
          <w:color w:val="000000" w:themeColor="text1"/>
          <w:sz w:val="22"/>
          <w:szCs w:val="22"/>
          <w:lang w:val="en-US"/>
        </w:rPr>
        <w:t>Alu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 expression</w:t>
      </w:r>
      <w:bookmarkEnd w:id="0"/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 at 48h. </w:t>
      </w:r>
      <w:r w:rsidRPr="00C62A8E">
        <w:rPr>
          <w:i w:val="0"/>
          <w:iCs w:val="0"/>
          <w:color w:val="auto"/>
          <w:sz w:val="22"/>
          <w:szCs w:val="22"/>
          <w:lang w:val="en-US"/>
        </w:rPr>
        <w:t>Data are reported as mean ± standard deviation (</w:t>
      </w:r>
      <w:r>
        <w:rPr>
          <w:i w:val="0"/>
          <w:iCs w:val="0"/>
          <w:color w:val="auto"/>
          <w:sz w:val="22"/>
          <w:szCs w:val="22"/>
          <w:lang w:val="en-US"/>
        </w:rPr>
        <w:t>c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 xml:space="preserve">ontrol n=8, </w:t>
      </w:r>
      <w:r>
        <w:rPr>
          <w:i w:val="0"/>
          <w:iCs w:val="0"/>
          <w:color w:val="000000" w:themeColor="text1"/>
          <w:sz w:val="22"/>
          <w:szCs w:val="22"/>
          <w:lang w:val="en-US"/>
        </w:rPr>
        <w:t>MF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>NAs n=</w:t>
      </w:r>
      <w:r>
        <w:rPr>
          <w:i w:val="0"/>
          <w:iCs w:val="0"/>
          <w:color w:val="000000" w:themeColor="text1"/>
          <w:sz w:val="22"/>
          <w:szCs w:val="22"/>
          <w:lang w:val="en-US"/>
        </w:rPr>
        <w:t xml:space="preserve">5). </w:t>
      </w:r>
      <w:r w:rsidRPr="004B10F5">
        <w:rPr>
          <w:i w:val="0"/>
          <w:iCs w:val="0"/>
          <w:color w:val="000000" w:themeColor="text1"/>
          <w:sz w:val="22"/>
          <w:szCs w:val="22"/>
          <w:lang w:val="en-US"/>
        </w:rPr>
        <w:t>Statistical analysis was performed through multiple t-test, Welch's test, *p&lt;0.05 **p&lt;0.01 ***p&lt;0.001 ****p&lt;0.0001.</w:t>
      </w:r>
    </w:p>
    <w:p w14:paraId="62297A6F" w14:textId="6E4E6012" w:rsidR="006A2D44" w:rsidRDefault="00BD551F" w:rsidP="006A2D44">
      <w:pPr>
        <w:keepNext/>
        <w:jc w:val="center"/>
      </w:pPr>
      <w:r>
        <w:rPr>
          <w:noProof/>
        </w:rPr>
        <w:lastRenderedPageBreak/>
        <w:drawing>
          <wp:inline distT="0" distB="0" distL="0" distR="0" wp14:anchorId="0B1939C8" wp14:editId="0FF90DEF">
            <wp:extent cx="6120130" cy="2971800"/>
            <wp:effectExtent l="0" t="0" r="0" b="0"/>
            <wp:docPr id="968331828" name="Immagine 1" descr="Immagine che contiene testo, schermata, bianco e n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8331828" name="Immagine 1" descr="Immagine che contiene testo, schermata, bianco e nero&#10;&#10;Descrizione generata automaticamente"/>
                    <pic:cNvPicPr/>
                  </pic:nvPicPr>
                  <pic:blipFill rotWithShape="1">
                    <a:blip r:embed="rId10"/>
                    <a:srcRect t="-1" b="59138"/>
                    <a:stretch/>
                  </pic:blipFill>
                  <pic:spPr bwMode="auto">
                    <a:xfrm>
                      <a:off x="0" y="0"/>
                      <a:ext cx="6120130" cy="2971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65A34D" w14:textId="58A4FDB0" w:rsidR="006A2D44" w:rsidRPr="006A2D44" w:rsidRDefault="006A2D44" w:rsidP="006A2D44">
      <w:pPr>
        <w:pStyle w:val="Didascalia"/>
        <w:jc w:val="both"/>
        <w:rPr>
          <w:b/>
          <w:bCs/>
          <w:i w:val="0"/>
          <w:iCs w:val="0"/>
          <w:color w:val="auto"/>
          <w:sz w:val="22"/>
          <w:szCs w:val="22"/>
          <w:lang w:val="en-US"/>
        </w:rPr>
      </w:pPr>
      <w:r w:rsidRPr="006A2D44">
        <w:rPr>
          <w:b/>
          <w:bCs/>
          <w:i w:val="0"/>
          <w:iCs w:val="0"/>
          <w:color w:val="auto"/>
          <w:sz w:val="22"/>
          <w:szCs w:val="22"/>
          <w:lang w:val="en-US"/>
        </w:rPr>
        <w:t xml:space="preserve">Figure </w:t>
      </w:r>
      <w:r w:rsidRPr="006A2D44">
        <w:rPr>
          <w:b/>
          <w:bCs/>
          <w:i w:val="0"/>
          <w:iCs w:val="0"/>
          <w:color w:val="auto"/>
          <w:sz w:val="22"/>
          <w:szCs w:val="22"/>
        </w:rPr>
        <w:fldChar w:fldCharType="begin"/>
      </w:r>
      <w:r w:rsidRPr="006A2D44">
        <w:rPr>
          <w:b/>
          <w:bCs/>
          <w:i w:val="0"/>
          <w:iCs w:val="0"/>
          <w:color w:val="auto"/>
          <w:sz w:val="22"/>
          <w:szCs w:val="22"/>
          <w:lang w:val="en-US"/>
        </w:rPr>
        <w:instrText xml:space="preserve"> SEQ Figure \* ARABIC </w:instrText>
      </w:r>
      <w:r w:rsidRPr="006A2D44">
        <w:rPr>
          <w:b/>
          <w:bCs/>
          <w:i w:val="0"/>
          <w:iCs w:val="0"/>
          <w:color w:val="auto"/>
          <w:sz w:val="22"/>
          <w:szCs w:val="22"/>
        </w:rPr>
        <w:fldChar w:fldCharType="separate"/>
      </w:r>
      <w:r w:rsidR="005326D0">
        <w:rPr>
          <w:b/>
          <w:bCs/>
          <w:i w:val="0"/>
          <w:iCs w:val="0"/>
          <w:noProof/>
          <w:color w:val="auto"/>
          <w:sz w:val="22"/>
          <w:szCs w:val="22"/>
          <w:lang w:val="en-US"/>
        </w:rPr>
        <w:t>4</w:t>
      </w:r>
      <w:r w:rsidRPr="006A2D44">
        <w:rPr>
          <w:b/>
          <w:bCs/>
          <w:i w:val="0"/>
          <w:iCs w:val="0"/>
          <w:color w:val="auto"/>
          <w:sz w:val="22"/>
          <w:szCs w:val="22"/>
        </w:rPr>
        <w:fldChar w:fldCharType="end"/>
      </w:r>
      <w:r w:rsidRPr="006A2D44">
        <w:rPr>
          <w:b/>
          <w:bCs/>
          <w:i w:val="0"/>
          <w:iCs w:val="0"/>
          <w:color w:val="auto"/>
          <w:sz w:val="22"/>
          <w:szCs w:val="22"/>
          <w:lang w:val="en-US"/>
        </w:rPr>
        <w:t xml:space="preserve">SI. </w:t>
      </w:r>
      <w:r w:rsidR="00BD551F">
        <w:rPr>
          <w:b/>
          <w:bCs/>
          <w:i w:val="0"/>
          <w:iCs w:val="0"/>
          <w:color w:val="auto"/>
          <w:sz w:val="22"/>
          <w:szCs w:val="22"/>
          <w:lang w:val="en-US"/>
        </w:rPr>
        <w:t>Uncropped blot of the investigated p</w:t>
      </w:r>
      <w:r w:rsidRPr="006A2D44">
        <w:rPr>
          <w:b/>
          <w:bCs/>
          <w:i w:val="0"/>
          <w:iCs w:val="0"/>
          <w:color w:val="auto"/>
          <w:sz w:val="22"/>
          <w:szCs w:val="22"/>
          <w:lang w:val="en-US"/>
        </w:rPr>
        <w:t>rotein</w:t>
      </w:r>
      <w:r w:rsidR="00BD551F">
        <w:rPr>
          <w:b/>
          <w:bCs/>
          <w:i w:val="0"/>
          <w:iCs w:val="0"/>
          <w:color w:val="auto"/>
          <w:sz w:val="22"/>
          <w:szCs w:val="22"/>
          <w:lang w:val="en-US"/>
        </w:rPr>
        <w:t>s</w:t>
      </w:r>
      <w:r w:rsidRPr="006A2D44">
        <w:rPr>
          <w:b/>
          <w:bCs/>
          <w:i w:val="0"/>
          <w:iCs w:val="0"/>
          <w:color w:val="auto"/>
          <w:sz w:val="22"/>
          <w:szCs w:val="22"/>
          <w:lang w:val="en-US"/>
        </w:rPr>
        <w:t xml:space="preserve"> </w:t>
      </w:r>
      <w:r w:rsidR="00BD551F">
        <w:rPr>
          <w:b/>
          <w:bCs/>
          <w:i w:val="0"/>
          <w:iCs w:val="0"/>
          <w:color w:val="auto"/>
          <w:sz w:val="22"/>
          <w:szCs w:val="22"/>
          <w:lang w:val="en-US"/>
        </w:rPr>
        <w:t>in</w:t>
      </w:r>
      <w:r w:rsidRPr="006A2D44">
        <w:rPr>
          <w:b/>
          <w:bCs/>
          <w:i w:val="0"/>
          <w:iCs w:val="0"/>
          <w:color w:val="auto"/>
          <w:sz w:val="22"/>
          <w:szCs w:val="22"/>
          <w:lang w:val="en-US"/>
        </w:rPr>
        <w:t xml:space="preserve"> CAM tumors.</w:t>
      </w:r>
      <w:r w:rsidRPr="006A2D44">
        <w:rPr>
          <w:i w:val="0"/>
          <w:iCs w:val="0"/>
          <w:color w:val="auto"/>
          <w:sz w:val="22"/>
          <w:szCs w:val="22"/>
          <w:lang w:val="en-US"/>
        </w:rPr>
        <w:t xml:space="preserve"> </w:t>
      </w:r>
    </w:p>
    <w:sectPr w:rsidR="006A2D44" w:rsidRPr="006A2D44">
      <w:foot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69000" w14:textId="77777777" w:rsidR="00A37FF5" w:rsidRDefault="00A37FF5" w:rsidP="00F64041">
      <w:pPr>
        <w:spacing w:after="0" w:line="240" w:lineRule="auto"/>
      </w:pPr>
      <w:r>
        <w:separator/>
      </w:r>
    </w:p>
  </w:endnote>
  <w:endnote w:type="continuationSeparator" w:id="0">
    <w:p w14:paraId="2E1A7CEF" w14:textId="77777777" w:rsidR="00A37FF5" w:rsidRDefault="00A37FF5" w:rsidP="00F64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71299462"/>
      <w:docPartObj>
        <w:docPartGallery w:val="Page Numbers (Bottom of Page)"/>
        <w:docPartUnique/>
      </w:docPartObj>
    </w:sdtPr>
    <w:sdtContent>
      <w:p w14:paraId="5D055908" w14:textId="63892121" w:rsidR="00F64041" w:rsidRDefault="00F64041">
        <w:pPr>
          <w:pStyle w:val="Pidipagina"/>
          <w:jc w:val="center"/>
        </w:pPr>
        <w:r>
          <w:t>S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B9008" w14:textId="77777777" w:rsidR="00F64041" w:rsidRDefault="00F6404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900FC9" w14:textId="77777777" w:rsidR="00A37FF5" w:rsidRDefault="00A37FF5" w:rsidP="00F64041">
      <w:pPr>
        <w:spacing w:after="0" w:line="240" w:lineRule="auto"/>
      </w:pPr>
      <w:r>
        <w:separator/>
      </w:r>
    </w:p>
  </w:footnote>
  <w:footnote w:type="continuationSeparator" w:id="0">
    <w:p w14:paraId="0966ECFF" w14:textId="77777777" w:rsidR="00A37FF5" w:rsidRDefault="00A37FF5" w:rsidP="00F640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4B5312"/>
    <w:rsid w:val="00200C87"/>
    <w:rsid w:val="00293CDC"/>
    <w:rsid w:val="003534D0"/>
    <w:rsid w:val="00395854"/>
    <w:rsid w:val="003D4D4E"/>
    <w:rsid w:val="004406A0"/>
    <w:rsid w:val="004B5312"/>
    <w:rsid w:val="005265B7"/>
    <w:rsid w:val="005326D0"/>
    <w:rsid w:val="00543636"/>
    <w:rsid w:val="00594D39"/>
    <w:rsid w:val="0065755F"/>
    <w:rsid w:val="00683367"/>
    <w:rsid w:val="006970B3"/>
    <w:rsid w:val="006A2D44"/>
    <w:rsid w:val="009A50B7"/>
    <w:rsid w:val="009C6259"/>
    <w:rsid w:val="00A37FF5"/>
    <w:rsid w:val="00A41A50"/>
    <w:rsid w:val="00A84DBB"/>
    <w:rsid w:val="00AA1943"/>
    <w:rsid w:val="00AD4CCE"/>
    <w:rsid w:val="00B03DF4"/>
    <w:rsid w:val="00B41871"/>
    <w:rsid w:val="00BD551F"/>
    <w:rsid w:val="00C86CEF"/>
    <w:rsid w:val="00D57286"/>
    <w:rsid w:val="00F64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C4345"/>
  <w15:chartTrackingRefBased/>
  <w15:docId w15:val="{F1B0CB14-DBCC-4005-8FB8-7A9A2876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A2D44"/>
    <w:rPr>
      <w:rFonts w:eastAsia="Batang"/>
      <w:kern w:val="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6A2D4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A2D44"/>
    <w:pPr>
      <w:spacing w:after="0"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6A2D44"/>
    <w:rPr>
      <w:rFonts w:eastAsia="Batang"/>
      <w:kern w:val="0"/>
      <w:sz w:val="20"/>
      <w:szCs w:val="20"/>
    </w:rPr>
  </w:style>
  <w:style w:type="paragraph" w:styleId="Didascalia">
    <w:name w:val="caption"/>
    <w:basedOn w:val="Normale"/>
    <w:next w:val="Normale"/>
    <w:uiPriority w:val="35"/>
    <w:unhideWhenUsed/>
    <w:qFormat/>
    <w:rsid w:val="006A2D44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406A0"/>
    <w:pPr>
      <w:spacing w:after="200"/>
    </w:pPr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406A0"/>
    <w:rPr>
      <w:rFonts w:eastAsia="Batang"/>
      <w:b/>
      <w:bCs/>
      <w:kern w:val="0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F6404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4041"/>
    <w:rPr>
      <w:rFonts w:eastAsia="Batang"/>
      <w:kern w:val="0"/>
    </w:rPr>
  </w:style>
  <w:style w:type="paragraph" w:styleId="Pidipagina">
    <w:name w:val="footer"/>
    <w:basedOn w:val="Normale"/>
    <w:link w:val="PidipaginaCarattere"/>
    <w:uiPriority w:val="99"/>
    <w:unhideWhenUsed/>
    <w:rsid w:val="00F6404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4041"/>
    <w:rPr>
      <w:rFonts w:eastAsia="Batang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F515A0-57D9-4DAD-A635-962466FA6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3</Pages>
  <Words>623</Words>
  <Characters>3555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Zamborlin</dc:creator>
  <cp:keywords/>
  <dc:description/>
  <cp:lastModifiedBy>Valerio Voliani</cp:lastModifiedBy>
  <cp:revision>16</cp:revision>
  <dcterms:created xsi:type="dcterms:W3CDTF">2023-03-23T16:35:00Z</dcterms:created>
  <dcterms:modified xsi:type="dcterms:W3CDTF">2023-12-04T09:28:00Z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http://www.zotero.org/styles/acs-nano</vt:lpwstr>
  </property>
  <property fmtid="{D5CDD505-2E9C-101B-9397-08002B2CF9AE}" pid="3" name="Mendeley Recent Style Name 0_1">
    <vt:lpwstr>ACS Nano</vt:lpwstr>
  </property>
  <property fmtid="{D5CDD505-2E9C-101B-9397-08002B2CF9AE}" pid="4" name="Mendeley Recent Style Id 1_1">
    <vt:lpwstr>http://csl.mendeley.com/styles/522739111/american-chemical-society</vt:lpwstr>
  </property>
  <property fmtid="{D5CDD505-2E9C-101B-9397-08002B2CF9AE}" pid="5" name="Mendeley Recent Style Name 1_1">
    <vt:lpwstr>American Chemical Society - Agata Zamborlin</vt:lpwstr>
  </property>
  <property fmtid="{D5CDD505-2E9C-101B-9397-08002B2CF9AE}" pid="6" name="Mendeley Recent Style Id 2_1">
    <vt:lpwstr>http://www.zotero.org/styles/american-medical-association</vt:lpwstr>
  </property>
  <property fmtid="{D5CDD505-2E9C-101B-9397-08002B2CF9AE}" pid="7" name="Mendeley Recent Style Name 2_1">
    <vt:lpwstr>American Medical Association 11th edition</vt:lpwstr>
  </property>
  <property fmtid="{D5CDD505-2E9C-101B-9397-08002B2CF9AE}" pid="8" name="Mendeley Recent Style Id 3_1">
    <vt:lpwstr>http://www.zotero.org/styles/american-political-science-association</vt:lpwstr>
  </property>
  <property fmtid="{D5CDD505-2E9C-101B-9397-08002B2CF9AE}" pid="9" name="Mendeley Recent Style Name 3_1">
    <vt:lpwstr>American Political Science Association</vt:lpwstr>
  </property>
  <property fmtid="{D5CDD505-2E9C-101B-9397-08002B2CF9AE}" pid="10" name="Mendeley Recent Style Id 4_1">
    <vt:lpwstr>http://www.zotero.org/styles/apa</vt:lpwstr>
  </property>
  <property fmtid="{D5CDD505-2E9C-101B-9397-08002B2CF9AE}" pid="11" name="Mendeley Recent Style Name 4_1">
    <vt:lpwstr>American Psychological Association 7th edition</vt:lpwstr>
  </property>
  <property fmtid="{D5CDD505-2E9C-101B-9397-08002B2CF9AE}" pid="12" name="Mendeley Recent Style Id 5_1">
    <vt:lpwstr>http://www.zotero.org/styles/american-sociological-association</vt:lpwstr>
  </property>
  <property fmtid="{D5CDD505-2E9C-101B-9397-08002B2CF9AE}" pid="13" name="Mendeley Recent Style Name 5_1">
    <vt:lpwstr>American Sociological Association 6th edition</vt:lpwstr>
  </property>
  <property fmtid="{D5CDD505-2E9C-101B-9397-08002B2CF9AE}" pid="14" name="Mendeley Recent Style Id 6_1">
    <vt:lpwstr>http://www.zotero.org/styles/chicago-author-date</vt:lpwstr>
  </property>
  <property fmtid="{D5CDD505-2E9C-101B-9397-08002B2CF9AE}" pid="15" name="Mendeley Recent Style Name 6_1">
    <vt:lpwstr>Chicago Manual of Style 17th edition (author-date)</vt:lpwstr>
  </property>
  <property fmtid="{D5CDD505-2E9C-101B-9397-08002B2CF9AE}" pid="16" name="Mendeley Recent Style Id 7_1">
    <vt:lpwstr>http://www.zotero.org/styles/harvard-cite-them-right</vt:lpwstr>
  </property>
  <property fmtid="{D5CDD505-2E9C-101B-9397-08002B2CF9AE}" pid="17" name="Mendeley Recent Style Name 7_1">
    <vt:lpwstr>Cite Them Right 10th edition - Harvard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http://www.zotero.org/styles/modern-language-association</vt:lpwstr>
  </property>
  <property fmtid="{D5CDD505-2E9C-101B-9397-08002B2CF9AE}" pid="21" name="Mendeley Recent Style Name 9_1">
    <vt:lpwstr>Modern Language Association 8th edition</vt:lpwstr>
  </property>
</Properties>
</file>